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FEA2" w14:textId="5F7E01AC" w:rsidR="00013AFE" w:rsidRPr="00CF0EAD" w:rsidRDefault="009C120C" w:rsidP="009C120C">
      <w:pPr>
        <w:pStyle w:val="Title"/>
        <w:spacing w:line="204" w:lineRule="auto"/>
        <w:rPr>
          <w:color w:val="004380"/>
          <w:spacing w:val="-1"/>
          <w:sz w:val="32"/>
          <w:szCs w:val="32"/>
        </w:rPr>
      </w:pPr>
      <w:bookmarkStart w:id="0" w:name="_Hlk87969972"/>
      <w:r w:rsidRPr="00CF0EAD">
        <w:rPr>
          <w:smallCaps/>
          <w:color w:val="004380"/>
          <w:spacing w:val="-1"/>
          <w:sz w:val="32"/>
          <w:szCs w:val="32"/>
        </w:rPr>
        <w:t>PRAGUE</w:t>
      </w:r>
      <w:r w:rsidRPr="00CF0EAD">
        <w:rPr>
          <w:color w:val="004380"/>
          <w:spacing w:val="-1"/>
          <w:sz w:val="32"/>
          <w:szCs w:val="32"/>
        </w:rPr>
        <w:t xml:space="preserve"> DECLARATION</w:t>
      </w:r>
    </w:p>
    <w:p w14:paraId="20605024" w14:textId="77777777" w:rsidR="00013AFE" w:rsidRPr="00CF0EAD" w:rsidRDefault="00516DF7">
      <w:pPr>
        <w:pStyle w:val="Title"/>
        <w:spacing w:line="206" w:lineRule="auto"/>
        <w:rPr>
          <w:color w:val="004380"/>
          <w:sz w:val="32"/>
          <w:szCs w:val="32"/>
        </w:rPr>
      </w:pPr>
      <w:r w:rsidRPr="00CF0EAD">
        <w:rPr>
          <w:color w:val="004380"/>
          <w:sz w:val="32"/>
          <w:szCs w:val="32"/>
        </w:rPr>
        <w:t xml:space="preserve">BUSINESSEUROPE’S </w:t>
      </w:r>
      <w:r w:rsidRPr="00CF0EAD">
        <w:rPr>
          <w:color w:val="004380"/>
          <w:spacing w:val="-91"/>
          <w:sz w:val="32"/>
          <w:szCs w:val="32"/>
        </w:rPr>
        <w:t xml:space="preserve">       </w:t>
      </w:r>
      <w:r w:rsidRPr="00CF0EAD">
        <w:rPr>
          <w:color w:val="004380"/>
          <w:sz w:val="32"/>
          <w:szCs w:val="32"/>
        </w:rPr>
        <w:t>COUNCIL</w:t>
      </w:r>
      <w:r w:rsidRPr="00CF0EAD">
        <w:rPr>
          <w:color w:val="004380"/>
          <w:spacing w:val="-2"/>
          <w:sz w:val="32"/>
          <w:szCs w:val="32"/>
        </w:rPr>
        <w:t xml:space="preserve"> </w:t>
      </w:r>
      <w:r w:rsidRPr="00CF0EAD">
        <w:rPr>
          <w:color w:val="004380"/>
          <w:sz w:val="32"/>
          <w:szCs w:val="32"/>
        </w:rPr>
        <w:t>OF</w:t>
      </w:r>
      <w:r w:rsidRPr="00CF0EAD">
        <w:rPr>
          <w:color w:val="004380"/>
          <w:spacing w:val="-1"/>
          <w:sz w:val="32"/>
          <w:szCs w:val="32"/>
        </w:rPr>
        <w:t xml:space="preserve"> </w:t>
      </w:r>
      <w:r w:rsidRPr="00CF0EAD">
        <w:rPr>
          <w:color w:val="004380"/>
          <w:sz w:val="32"/>
          <w:szCs w:val="32"/>
        </w:rPr>
        <w:t>PRESIDENTS</w:t>
      </w:r>
    </w:p>
    <w:p w14:paraId="57723806" w14:textId="49288E5C" w:rsidR="00013AFE" w:rsidRPr="00CF0EAD" w:rsidRDefault="00516DF7" w:rsidP="005A70B2">
      <w:pPr>
        <w:spacing w:before="119"/>
        <w:ind w:left="697" w:right="765"/>
        <w:jc w:val="center"/>
        <w:rPr>
          <w:sz w:val="32"/>
          <w:szCs w:val="32"/>
        </w:rPr>
      </w:pPr>
      <w:r w:rsidRPr="00CF0EAD">
        <w:rPr>
          <w:spacing w:val="-10"/>
          <w:sz w:val="32"/>
          <w:szCs w:val="32"/>
        </w:rPr>
        <w:t>2-3 June 2022</w:t>
      </w:r>
    </w:p>
    <w:p w14:paraId="573BF10A" w14:textId="77777777" w:rsidR="00013AFE" w:rsidRDefault="00013AFE">
      <w:pPr>
        <w:pStyle w:val="Header"/>
        <w:widowControl w:val="0"/>
        <w:suppressAutoHyphens/>
        <w:jc w:val="both"/>
        <w:rPr>
          <w:rFonts w:ascii="Arial" w:hAnsi="Arial" w:cs="Arial"/>
          <w:i/>
          <w:iCs/>
          <w:sz w:val="22"/>
          <w:szCs w:val="22"/>
        </w:rPr>
      </w:pPr>
    </w:p>
    <w:p w14:paraId="319AE713" w14:textId="0C751F27" w:rsidR="00013AFE" w:rsidRPr="00A8515F" w:rsidRDefault="001D15B3" w:rsidP="00BC5D87">
      <w:pPr>
        <w:spacing w:before="123" w:line="196" w:lineRule="auto"/>
        <w:ind w:left="-426" w:right="-285"/>
        <w:jc w:val="both"/>
        <w:rPr>
          <w:rFonts w:ascii="Arial" w:hAnsi="Arial" w:cs="Arial"/>
          <w:i/>
          <w:iCs/>
          <w:sz w:val="21"/>
          <w:szCs w:val="21"/>
        </w:rPr>
      </w:pPr>
      <w:r w:rsidRPr="006341E6">
        <w:rPr>
          <w:rFonts w:ascii="Arial" w:hAnsi="Arial" w:cs="Arial"/>
          <w:i/>
          <w:w w:val="95"/>
          <w:sz w:val="21"/>
          <w:szCs w:val="21"/>
        </w:rPr>
        <w:t xml:space="preserve">Faced with the consequences of </w:t>
      </w:r>
      <w:r w:rsidR="00AB07F6" w:rsidRPr="006341E6">
        <w:rPr>
          <w:rFonts w:ascii="Arial" w:hAnsi="Arial" w:cs="Arial"/>
          <w:i/>
          <w:w w:val="95"/>
          <w:sz w:val="21"/>
          <w:szCs w:val="21"/>
        </w:rPr>
        <w:t xml:space="preserve">the </w:t>
      </w:r>
      <w:r w:rsidRPr="006341E6">
        <w:rPr>
          <w:rFonts w:ascii="Arial" w:hAnsi="Arial" w:cs="Arial"/>
          <w:i/>
          <w:w w:val="95"/>
          <w:sz w:val="21"/>
          <w:szCs w:val="21"/>
        </w:rPr>
        <w:t>war</w:t>
      </w:r>
      <w:r w:rsidR="00AB07F6" w:rsidRPr="006341E6">
        <w:rPr>
          <w:rFonts w:ascii="Arial" w:hAnsi="Arial" w:cs="Arial"/>
          <w:i/>
          <w:w w:val="95"/>
          <w:sz w:val="21"/>
          <w:szCs w:val="21"/>
        </w:rPr>
        <w:t xml:space="preserve"> in Ukraine and </w:t>
      </w:r>
      <w:r w:rsidR="00A43648" w:rsidRPr="00D70C92">
        <w:rPr>
          <w:rFonts w:ascii="Arial" w:hAnsi="Arial" w:cs="Arial"/>
          <w:i/>
          <w:w w:val="95"/>
          <w:sz w:val="21"/>
          <w:szCs w:val="21"/>
        </w:rPr>
        <w:t>an</w:t>
      </w:r>
      <w:r w:rsidR="00A43648" w:rsidRPr="006341E6">
        <w:rPr>
          <w:rFonts w:ascii="Arial" w:hAnsi="Arial" w:cs="Arial"/>
          <w:i/>
          <w:w w:val="95"/>
          <w:sz w:val="21"/>
          <w:szCs w:val="21"/>
        </w:rPr>
        <w:t xml:space="preserve"> </w:t>
      </w:r>
      <w:r w:rsidR="00AB07F6" w:rsidRPr="006341E6">
        <w:rPr>
          <w:rFonts w:ascii="Arial" w:hAnsi="Arial" w:cs="Arial"/>
          <w:i/>
          <w:w w:val="95"/>
          <w:sz w:val="21"/>
          <w:szCs w:val="21"/>
        </w:rPr>
        <w:t>increasing</w:t>
      </w:r>
      <w:r w:rsidR="00A43648" w:rsidRPr="006341E6">
        <w:rPr>
          <w:rFonts w:ascii="Arial" w:hAnsi="Arial" w:cs="Arial"/>
          <w:i/>
          <w:w w:val="95"/>
          <w:sz w:val="21"/>
          <w:szCs w:val="21"/>
        </w:rPr>
        <w:t>ly</w:t>
      </w:r>
      <w:r w:rsidR="00AB07F6" w:rsidRPr="006341E6">
        <w:rPr>
          <w:rFonts w:ascii="Arial" w:hAnsi="Arial" w:cs="Arial"/>
          <w:i/>
          <w:w w:val="95"/>
          <w:sz w:val="21"/>
          <w:szCs w:val="21"/>
        </w:rPr>
        <w:t xml:space="preserve"> </w:t>
      </w:r>
      <w:r w:rsidR="007261A3" w:rsidRPr="006341E6">
        <w:rPr>
          <w:rFonts w:ascii="Arial" w:hAnsi="Arial" w:cs="Arial"/>
          <w:i/>
          <w:w w:val="95"/>
          <w:sz w:val="21"/>
          <w:szCs w:val="21"/>
        </w:rPr>
        <w:t>tens</w:t>
      </w:r>
      <w:r w:rsidR="007261A3" w:rsidRPr="00D70C92">
        <w:rPr>
          <w:rFonts w:ascii="Arial" w:hAnsi="Arial" w:cs="Arial"/>
          <w:i/>
          <w:w w:val="95"/>
          <w:sz w:val="21"/>
          <w:szCs w:val="21"/>
        </w:rPr>
        <w:t>e</w:t>
      </w:r>
      <w:r w:rsidR="007261A3" w:rsidRPr="006341E6">
        <w:rPr>
          <w:rFonts w:ascii="Arial" w:hAnsi="Arial" w:cs="Arial"/>
          <w:i/>
          <w:w w:val="95"/>
          <w:sz w:val="21"/>
          <w:szCs w:val="21"/>
        </w:rPr>
        <w:t xml:space="preserve"> </w:t>
      </w:r>
      <w:r w:rsidR="00AB07F6" w:rsidRPr="006341E6">
        <w:rPr>
          <w:rFonts w:ascii="Arial" w:hAnsi="Arial" w:cs="Arial"/>
          <w:i/>
          <w:w w:val="95"/>
          <w:sz w:val="21"/>
          <w:szCs w:val="21"/>
        </w:rPr>
        <w:t xml:space="preserve">geopolitical </w:t>
      </w:r>
      <w:r w:rsidR="007261A3" w:rsidRPr="006341E6">
        <w:rPr>
          <w:rFonts w:ascii="Arial" w:hAnsi="Arial" w:cs="Arial"/>
          <w:i/>
          <w:w w:val="95"/>
          <w:sz w:val="21"/>
          <w:szCs w:val="21"/>
        </w:rPr>
        <w:t>situation</w:t>
      </w:r>
      <w:r w:rsidR="00AB07F6" w:rsidRPr="006341E6">
        <w:rPr>
          <w:rFonts w:ascii="Arial" w:hAnsi="Arial" w:cs="Arial"/>
          <w:i/>
          <w:w w:val="95"/>
          <w:sz w:val="21"/>
          <w:szCs w:val="21"/>
        </w:rPr>
        <w:t>, th</w:t>
      </w:r>
      <w:r w:rsidRPr="006341E6">
        <w:rPr>
          <w:rFonts w:ascii="Arial" w:hAnsi="Arial" w:cs="Arial"/>
          <w:i/>
          <w:w w:val="95"/>
          <w:sz w:val="21"/>
          <w:szCs w:val="21"/>
        </w:rPr>
        <w:t xml:space="preserve">e Czech Presidency </w:t>
      </w:r>
      <w:r w:rsidR="00AB07F6" w:rsidRPr="006341E6">
        <w:rPr>
          <w:rFonts w:ascii="Arial" w:hAnsi="Arial" w:cs="Arial"/>
          <w:i/>
          <w:w w:val="95"/>
          <w:sz w:val="21"/>
          <w:szCs w:val="21"/>
        </w:rPr>
        <w:t>will have an</w:t>
      </w:r>
      <w:r w:rsidRPr="006341E6">
        <w:rPr>
          <w:rFonts w:ascii="Arial" w:hAnsi="Arial" w:cs="Arial"/>
          <w:i/>
          <w:w w:val="95"/>
          <w:sz w:val="21"/>
          <w:szCs w:val="21"/>
        </w:rPr>
        <w:t xml:space="preserve"> important role to play</w:t>
      </w:r>
      <w:r w:rsidR="00AB07F6" w:rsidRPr="006341E6">
        <w:rPr>
          <w:rFonts w:ascii="Arial" w:hAnsi="Arial" w:cs="Arial"/>
          <w:i/>
          <w:w w:val="95"/>
          <w:sz w:val="21"/>
          <w:szCs w:val="21"/>
        </w:rPr>
        <w:t xml:space="preserve"> to put Europe back on the path to security</w:t>
      </w:r>
      <w:r w:rsidR="007254C7" w:rsidRPr="00D70C92">
        <w:rPr>
          <w:rFonts w:ascii="Arial" w:hAnsi="Arial" w:cs="Arial"/>
          <w:i/>
          <w:w w:val="95"/>
          <w:sz w:val="21"/>
          <w:szCs w:val="21"/>
        </w:rPr>
        <w:t xml:space="preserve">, </w:t>
      </w:r>
      <w:r w:rsidR="00E2302C" w:rsidRPr="00D70C92">
        <w:rPr>
          <w:rFonts w:ascii="Arial" w:hAnsi="Arial" w:cs="Arial"/>
          <w:i/>
          <w:w w:val="95"/>
          <w:sz w:val="21"/>
          <w:szCs w:val="21"/>
        </w:rPr>
        <w:t>stability,</w:t>
      </w:r>
      <w:r w:rsidR="00AB07F6" w:rsidRPr="006341E6">
        <w:rPr>
          <w:rFonts w:ascii="Arial" w:hAnsi="Arial" w:cs="Arial"/>
          <w:i/>
          <w:w w:val="95"/>
          <w:sz w:val="21"/>
          <w:szCs w:val="21"/>
        </w:rPr>
        <w:t xml:space="preserve"> and prosperity</w:t>
      </w:r>
      <w:r w:rsidRPr="006341E6">
        <w:rPr>
          <w:rFonts w:ascii="Arial" w:hAnsi="Arial" w:cs="Arial"/>
          <w:i/>
          <w:w w:val="95"/>
          <w:sz w:val="21"/>
          <w:szCs w:val="21"/>
        </w:rPr>
        <w:t xml:space="preserve">. </w:t>
      </w:r>
      <w:r w:rsidR="00516DF7" w:rsidRPr="006341E6">
        <w:rPr>
          <w:rFonts w:ascii="Arial" w:hAnsi="Arial" w:cs="Arial"/>
          <w:i/>
          <w:w w:val="95"/>
          <w:sz w:val="21"/>
          <w:szCs w:val="21"/>
        </w:rPr>
        <w:t>Four</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weeks</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ahead</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of</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the</w:t>
      </w:r>
      <w:r w:rsidR="00516DF7" w:rsidRPr="006341E6">
        <w:rPr>
          <w:rFonts w:ascii="Arial" w:hAnsi="Arial" w:cs="Arial"/>
          <w:i/>
          <w:spacing w:val="-8"/>
          <w:w w:val="95"/>
          <w:sz w:val="21"/>
          <w:szCs w:val="21"/>
        </w:rPr>
        <w:t xml:space="preserve"> </w:t>
      </w:r>
      <w:r w:rsidR="00516DF7" w:rsidRPr="006341E6">
        <w:rPr>
          <w:rFonts w:ascii="Arial" w:hAnsi="Arial" w:cs="Arial"/>
          <w:i/>
          <w:w w:val="95"/>
          <w:sz w:val="21"/>
          <w:szCs w:val="21"/>
        </w:rPr>
        <w:t>start</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of</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t</w:t>
      </w:r>
      <w:r w:rsidR="00AB07F6" w:rsidRPr="006341E6">
        <w:rPr>
          <w:rFonts w:ascii="Arial" w:hAnsi="Arial" w:cs="Arial"/>
          <w:i/>
          <w:w w:val="95"/>
          <w:sz w:val="21"/>
          <w:szCs w:val="21"/>
        </w:rPr>
        <w:t>h</w:t>
      </w:r>
      <w:r w:rsidR="00516DF7" w:rsidRPr="006341E6">
        <w:rPr>
          <w:rFonts w:ascii="Arial" w:hAnsi="Arial" w:cs="Arial"/>
          <w:i/>
          <w:w w:val="95"/>
          <w:sz w:val="21"/>
          <w:szCs w:val="21"/>
        </w:rPr>
        <w:t>e</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Czech</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Presidency</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of</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the</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European</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Union,</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the</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Council</w:t>
      </w:r>
      <w:r w:rsidR="00516DF7" w:rsidRPr="006341E6">
        <w:rPr>
          <w:rFonts w:ascii="Arial" w:hAnsi="Arial" w:cs="Arial"/>
          <w:i/>
          <w:spacing w:val="-7"/>
          <w:w w:val="95"/>
          <w:sz w:val="21"/>
          <w:szCs w:val="21"/>
        </w:rPr>
        <w:t xml:space="preserve"> </w:t>
      </w:r>
      <w:r w:rsidR="00516DF7" w:rsidRPr="006341E6">
        <w:rPr>
          <w:rFonts w:ascii="Arial" w:hAnsi="Arial" w:cs="Arial"/>
          <w:i/>
          <w:w w:val="95"/>
          <w:sz w:val="21"/>
          <w:szCs w:val="21"/>
        </w:rPr>
        <w:t xml:space="preserve">of Presidents of BusinessEurope gathered in </w:t>
      </w:r>
      <w:r w:rsidR="00516DF7" w:rsidRPr="00A8515F">
        <w:rPr>
          <w:rFonts w:ascii="Arial" w:hAnsi="Arial" w:cs="Arial"/>
          <w:i/>
          <w:w w:val="95"/>
          <w:sz w:val="21"/>
          <w:szCs w:val="21"/>
        </w:rPr>
        <w:t>Prague at the invitation of the Confederation of Industry of the Czech Republic. The Presidents</w:t>
      </w:r>
      <w:r w:rsidR="00516DF7" w:rsidRPr="00A8515F">
        <w:rPr>
          <w:rFonts w:ascii="Arial" w:hAnsi="Arial" w:cs="Arial"/>
          <w:i/>
          <w:spacing w:val="1"/>
          <w:w w:val="95"/>
          <w:sz w:val="21"/>
          <w:szCs w:val="21"/>
        </w:rPr>
        <w:t xml:space="preserve"> </w:t>
      </w:r>
      <w:r w:rsidR="00516DF7" w:rsidRPr="00A8515F">
        <w:rPr>
          <w:rFonts w:ascii="Arial" w:hAnsi="Arial" w:cs="Arial"/>
          <w:i/>
          <w:spacing w:val="-1"/>
          <w:sz w:val="21"/>
          <w:szCs w:val="21"/>
        </w:rPr>
        <w:t>of</w:t>
      </w:r>
      <w:r w:rsidR="00516DF7" w:rsidRPr="00A8515F">
        <w:rPr>
          <w:rFonts w:ascii="Arial" w:hAnsi="Arial" w:cs="Arial"/>
          <w:i/>
          <w:spacing w:val="-3"/>
          <w:sz w:val="21"/>
          <w:szCs w:val="21"/>
        </w:rPr>
        <w:t xml:space="preserve"> </w:t>
      </w:r>
      <w:r w:rsidR="00516DF7" w:rsidRPr="00A8515F">
        <w:rPr>
          <w:rFonts w:ascii="Arial" w:hAnsi="Arial" w:cs="Arial"/>
          <w:i/>
          <w:spacing w:val="-1"/>
          <w:sz w:val="21"/>
          <w:szCs w:val="21"/>
        </w:rPr>
        <w:t>BusinessEurope’s</w:t>
      </w:r>
      <w:r w:rsidR="00516DF7" w:rsidRPr="00A8515F">
        <w:rPr>
          <w:rFonts w:ascii="Arial" w:hAnsi="Arial" w:cs="Arial"/>
          <w:i/>
          <w:spacing w:val="-2"/>
          <w:sz w:val="21"/>
          <w:szCs w:val="21"/>
        </w:rPr>
        <w:t xml:space="preserve"> </w:t>
      </w:r>
      <w:r w:rsidR="00516DF7" w:rsidRPr="00A8515F">
        <w:rPr>
          <w:rFonts w:ascii="Arial" w:hAnsi="Arial" w:cs="Arial"/>
          <w:i/>
          <w:spacing w:val="-1"/>
          <w:sz w:val="21"/>
          <w:szCs w:val="21"/>
        </w:rPr>
        <w:t>40</w:t>
      </w:r>
      <w:r w:rsidR="00516DF7" w:rsidRPr="00A8515F">
        <w:rPr>
          <w:rFonts w:ascii="Arial" w:hAnsi="Arial" w:cs="Arial"/>
          <w:i/>
          <w:spacing w:val="-2"/>
          <w:sz w:val="21"/>
          <w:szCs w:val="21"/>
        </w:rPr>
        <w:t xml:space="preserve"> </w:t>
      </w:r>
      <w:r w:rsidR="00516DF7" w:rsidRPr="00A8515F">
        <w:rPr>
          <w:rFonts w:ascii="Arial" w:hAnsi="Arial" w:cs="Arial"/>
          <w:i/>
          <w:sz w:val="21"/>
          <w:szCs w:val="21"/>
        </w:rPr>
        <w:t>member</w:t>
      </w:r>
      <w:r w:rsidR="00516DF7" w:rsidRPr="00A8515F">
        <w:rPr>
          <w:rFonts w:ascii="Arial" w:hAnsi="Arial" w:cs="Arial"/>
          <w:i/>
          <w:spacing w:val="-2"/>
          <w:sz w:val="21"/>
          <w:szCs w:val="21"/>
        </w:rPr>
        <w:t xml:space="preserve"> </w:t>
      </w:r>
      <w:r w:rsidR="00516DF7" w:rsidRPr="00A8515F">
        <w:rPr>
          <w:rFonts w:ascii="Arial" w:hAnsi="Arial" w:cs="Arial"/>
          <w:i/>
          <w:sz w:val="21"/>
          <w:szCs w:val="21"/>
        </w:rPr>
        <w:t>federations</w:t>
      </w:r>
      <w:r w:rsidR="00516DF7" w:rsidRPr="00A8515F">
        <w:rPr>
          <w:rFonts w:ascii="Arial" w:hAnsi="Arial" w:cs="Arial"/>
          <w:i/>
          <w:spacing w:val="-3"/>
          <w:sz w:val="21"/>
          <w:szCs w:val="21"/>
        </w:rPr>
        <w:t xml:space="preserve"> </w:t>
      </w:r>
      <w:r w:rsidR="00516DF7" w:rsidRPr="00A8515F">
        <w:rPr>
          <w:rFonts w:ascii="Arial" w:hAnsi="Arial" w:cs="Arial"/>
          <w:i/>
          <w:sz w:val="21"/>
          <w:szCs w:val="21"/>
        </w:rPr>
        <w:t xml:space="preserve">defined their priorities for the Czech Presidency </w:t>
      </w:r>
      <w:r w:rsidR="00516DF7" w:rsidRPr="00A8515F">
        <w:rPr>
          <w:rFonts w:ascii="Arial" w:hAnsi="Arial" w:cs="Arial"/>
          <w:i/>
          <w:w w:val="95"/>
          <w:sz w:val="21"/>
          <w:szCs w:val="21"/>
        </w:rPr>
        <w:t>and underlined</w:t>
      </w:r>
      <w:r w:rsidR="00516DF7" w:rsidRPr="00A8515F">
        <w:rPr>
          <w:rFonts w:ascii="Arial" w:hAnsi="Arial" w:cs="Arial"/>
          <w:i/>
          <w:iCs/>
          <w:sz w:val="21"/>
          <w:szCs w:val="21"/>
        </w:rPr>
        <w:t xml:space="preserve"> two strands of work requiring priority attention during the future Czech Presidency.</w:t>
      </w:r>
    </w:p>
    <w:p w14:paraId="721846A2" w14:textId="77777777" w:rsidR="005A70B2" w:rsidRPr="00A8515F" w:rsidRDefault="005A70B2" w:rsidP="00BC5D87">
      <w:pPr>
        <w:pStyle w:val="Header"/>
        <w:widowControl w:val="0"/>
        <w:suppressAutoHyphens/>
        <w:ind w:left="-426" w:right="-285"/>
        <w:jc w:val="both"/>
        <w:rPr>
          <w:rFonts w:ascii="Arial" w:eastAsia="Times New Roman" w:hAnsi="Arial" w:cs="Arial"/>
          <w:sz w:val="21"/>
          <w:szCs w:val="21"/>
        </w:rPr>
      </w:pPr>
    </w:p>
    <w:p w14:paraId="0E5FC597" w14:textId="77777777" w:rsidR="00013AFE" w:rsidRPr="00A8515F" w:rsidRDefault="00516DF7" w:rsidP="00BC5D87">
      <w:pPr>
        <w:pStyle w:val="ListParagraph"/>
        <w:numPr>
          <w:ilvl w:val="0"/>
          <w:numId w:val="1"/>
        </w:numPr>
        <w:ind w:left="-426" w:right="-285"/>
        <w:jc w:val="both"/>
        <w:rPr>
          <w:rFonts w:ascii="Arial" w:eastAsia="Times New Roman" w:hAnsi="Arial" w:cs="Arial"/>
          <w:b/>
          <w:bCs/>
          <w:sz w:val="21"/>
          <w:szCs w:val="21"/>
          <w:lang w:val="en-GB"/>
        </w:rPr>
      </w:pPr>
      <w:r w:rsidRPr="00A8515F">
        <w:rPr>
          <w:rFonts w:ascii="Arial" w:eastAsia="Times New Roman" w:hAnsi="Arial" w:cs="Arial"/>
          <w:b/>
          <w:bCs/>
          <w:sz w:val="21"/>
          <w:szCs w:val="21"/>
          <w:lang w:val="en-GB"/>
        </w:rPr>
        <w:t>Supporting Ukraine and dealing with the economic consequences of the war for the European Union</w:t>
      </w:r>
    </w:p>
    <w:p w14:paraId="0B2BE170" w14:textId="77777777" w:rsidR="00013AFE" w:rsidRPr="00A8515F" w:rsidRDefault="00013AFE" w:rsidP="00BC5D87">
      <w:pPr>
        <w:pStyle w:val="xxmsonormal"/>
        <w:ind w:left="-426" w:right="-285"/>
        <w:jc w:val="both"/>
        <w:rPr>
          <w:i/>
          <w:iCs/>
          <w:color w:val="0070C0"/>
          <w:sz w:val="21"/>
          <w:szCs w:val="21"/>
        </w:rPr>
      </w:pPr>
    </w:p>
    <w:p w14:paraId="2D744647" w14:textId="5F485F8E" w:rsidR="00013AFE" w:rsidRPr="00A8515F" w:rsidRDefault="00C67061" w:rsidP="00BC5D87">
      <w:pPr>
        <w:pStyle w:val="xxmsonormal"/>
        <w:ind w:left="-426" w:right="-285"/>
        <w:jc w:val="both"/>
        <w:rPr>
          <w:rFonts w:ascii="Arial" w:hAnsi="Arial" w:cs="Arial"/>
          <w:sz w:val="21"/>
          <w:szCs w:val="21"/>
        </w:rPr>
      </w:pPr>
      <w:r w:rsidRPr="00A8515F">
        <w:rPr>
          <w:rFonts w:ascii="Arial" w:hAnsi="Arial" w:cs="Arial"/>
          <w:sz w:val="21"/>
          <w:szCs w:val="21"/>
        </w:rPr>
        <w:t xml:space="preserve">We, the Presidents of </w:t>
      </w:r>
      <w:r w:rsidR="00516DF7" w:rsidRPr="00A8515F">
        <w:rPr>
          <w:rFonts w:ascii="Arial" w:hAnsi="Arial" w:cs="Arial"/>
          <w:sz w:val="21"/>
          <w:szCs w:val="21"/>
        </w:rPr>
        <w:t>BusinessEurope</w:t>
      </w:r>
      <w:r w:rsidR="00E7101D" w:rsidRPr="00A8515F">
        <w:rPr>
          <w:rFonts w:ascii="Arial" w:hAnsi="Arial" w:cs="Arial"/>
          <w:sz w:val="21"/>
          <w:szCs w:val="21"/>
        </w:rPr>
        <w:t xml:space="preserve"> and its member federations</w:t>
      </w:r>
      <w:r w:rsidR="00516DF7" w:rsidRPr="00A8515F">
        <w:rPr>
          <w:rFonts w:ascii="Arial" w:hAnsi="Arial" w:cs="Arial"/>
          <w:sz w:val="21"/>
          <w:szCs w:val="21"/>
        </w:rPr>
        <w:t xml:space="preserve"> strongly condemn the invasion of Ukraine by Russia. We firmly believe the EU must defend international law and do the utmost to support Ukraine and its people. Since day one of the aggression, we stand behind the sanctions.</w:t>
      </w:r>
      <w:r w:rsidR="00516DF7" w:rsidRPr="00A8515F">
        <w:rPr>
          <w:i/>
          <w:iCs/>
          <w:color w:val="7030A0"/>
          <w:sz w:val="21"/>
          <w:szCs w:val="21"/>
        </w:rPr>
        <w:t xml:space="preserve"> </w:t>
      </w:r>
      <w:r w:rsidR="00516DF7" w:rsidRPr="00A8515F">
        <w:rPr>
          <w:rFonts w:ascii="Arial" w:hAnsi="Arial" w:cs="Arial"/>
          <w:sz w:val="21"/>
          <w:szCs w:val="21"/>
        </w:rPr>
        <w:t xml:space="preserve">European companies are taking the necessary actions to comply with these sanctions, despite the significant economic implications. </w:t>
      </w:r>
    </w:p>
    <w:p w14:paraId="60B8DB4C" w14:textId="77777777" w:rsidR="00013AFE" w:rsidRPr="00A8515F" w:rsidRDefault="00013AFE" w:rsidP="00BC5D87">
      <w:pPr>
        <w:pStyle w:val="xxmsonormal"/>
        <w:ind w:left="-426" w:right="-285"/>
        <w:jc w:val="both"/>
        <w:rPr>
          <w:rFonts w:ascii="Arial" w:hAnsi="Arial" w:cs="Arial"/>
          <w:sz w:val="21"/>
          <w:szCs w:val="21"/>
        </w:rPr>
      </w:pPr>
    </w:p>
    <w:p w14:paraId="2EC1D3B8" w14:textId="0EBD7CE1" w:rsidR="00013AFE" w:rsidRPr="00A8515F" w:rsidRDefault="00516DF7" w:rsidP="00BC5D87">
      <w:pPr>
        <w:pStyle w:val="xxmsonormal"/>
        <w:ind w:left="-426" w:right="-285"/>
        <w:jc w:val="both"/>
        <w:rPr>
          <w:rFonts w:ascii="Arial" w:hAnsi="Arial" w:cs="Arial"/>
          <w:sz w:val="21"/>
          <w:szCs w:val="21"/>
        </w:rPr>
      </w:pPr>
      <w:r w:rsidRPr="00A8515F">
        <w:rPr>
          <w:rFonts w:ascii="Arial" w:hAnsi="Arial" w:cs="Arial"/>
          <w:sz w:val="21"/>
          <w:szCs w:val="21"/>
        </w:rPr>
        <w:t xml:space="preserve">Unity is crucial and we will clearly continue to stand behind sanctions considered necessary by the European institutions in the future. </w:t>
      </w:r>
      <w:r w:rsidRPr="0073253A">
        <w:rPr>
          <w:rFonts w:ascii="Arial" w:hAnsi="Arial" w:cs="Arial"/>
          <w:sz w:val="21"/>
          <w:szCs w:val="21"/>
        </w:rPr>
        <w:t xml:space="preserve">These sanctions must be well targeted and carefully designed </w:t>
      </w:r>
      <w:r w:rsidR="0073253A" w:rsidRPr="007611F5">
        <w:rPr>
          <w:rFonts w:ascii="Arial" w:hAnsi="Arial" w:cs="Arial"/>
          <w:sz w:val="21"/>
          <w:szCs w:val="21"/>
        </w:rPr>
        <w:t>to preserve</w:t>
      </w:r>
      <w:r w:rsidRPr="0073253A">
        <w:rPr>
          <w:rFonts w:ascii="Arial" w:hAnsi="Arial" w:cs="Arial"/>
          <w:sz w:val="21"/>
          <w:szCs w:val="21"/>
        </w:rPr>
        <w:t xml:space="preserve"> Europe’s economic strength which is our major factor of leverage</w:t>
      </w:r>
      <w:r w:rsidR="00B60E08" w:rsidRPr="0073253A">
        <w:rPr>
          <w:rFonts w:ascii="Arial" w:hAnsi="Arial" w:cs="Arial"/>
          <w:sz w:val="21"/>
          <w:szCs w:val="21"/>
        </w:rPr>
        <w:t>.</w:t>
      </w:r>
      <w:r w:rsidRPr="0073253A">
        <w:rPr>
          <w:rFonts w:ascii="Arial" w:hAnsi="Arial" w:cs="Arial"/>
          <w:sz w:val="21"/>
          <w:szCs w:val="21"/>
        </w:rPr>
        <w:t xml:space="preserve"> </w:t>
      </w:r>
      <w:r w:rsidRPr="00E2302C">
        <w:rPr>
          <w:rFonts w:ascii="Arial" w:hAnsi="Arial" w:cs="Arial"/>
          <w:sz w:val="21"/>
          <w:szCs w:val="21"/>
        </w:rPr>
        <w:t xml:space="preserve">Furthermore, </w:t>
      </w:r>
      <w:r w:rsidRPr="00A8515F">
        <w:rPr>
          <w:rFonts w:ascii="Arial" w:hAnsi="Arial" w:cs="Arial"/>
          <w:sz w:val="21"/>
          <w:szCs w:val="21"/>
        </w:rPr>
        <w:t>public authorities need to give clear guidance to facilitate compliance.</w:t>
      </w:r>
    </w:p>
    <w:p w14:paraId="5CE3FCE7" w14:textId="77777777" w:rsidR="00013AFE" w:rsidRPr="00A8515F" w:rsidRDefault="00013AFE" w:rsidP="00BC5D87">
      <w:pPr>
        <w:pStyle w:val="xxmsonormal"/>
        <w:ind w:left="-426" w:right="-285"/>
        <w:jc w:val="both"/>
        <w:rPr>
          <w:rFonts w:ascii="Arial" w:hAnsi="Arial" w:cs="Arial"/>
          <w:sz w:val="21"/>
          <w:szCs w:val="21"/>
        </w:rPr>
      </w:pPr>
    </w:p>
    <w:p w14:paraId="316A1990" w14:textId="77777777" w:rsidR="00013AFE" w:rsidRPr="00A8515F" w:rsidRDefault="00516DF7" w:rsidP="00BC5D87">
      <w:pPr>
        <w:ind w:left="-426" w:right="-285"/>
        <w:jc w:val="both"/>
        <w:rPr>
          <w:rFonts w:ascii="Arial" w:hAnsi="Arial" w:cs="Arial"/>
          <w:sz w:val="21"/>
          <w:szCs w:val="21"/>
          <w:lang w:eastAsia="en-US"/>
        </w:rPr>
      </w:pPr>
      <w:r w:rsidRPr="00A8515F">
        <w:rPr>
          <w:rFonts w:ascii="Arial" w:hAnsi="Arial" w:cs="Arial"/>
          <w:sz w:val="21"/>
          <w:szCs w:val="21"/>
        </w:rPr>
        <w:t>The recent Russian gas delivery stops to some EU countries underline the urgency of developing a realistic and workable diversification strategy, speeding-up integration of the European energy market and the necessity for European unity and solidarity.</w:t>
      </w:r>
    </w:p>
    <w:p w14:paraId="4E637584" w14:textId="77777777" w:rsidR="00013AFE" w:rsidRPr="00A8515F" w:rsidRDefault="00013AFE" w:rsidP="00BC5D87">
      <w:pPr>
        <w:pStyle w:val="xxmsonormal"/>
        <w:ind w:left="-426" w:right="-285"/>
        <w:jc w:val="both"/>
        <w:rPr>
          <w:rFonts w:ascii="Arial" w:hAnsi="Arial" w:cs="Arial"/>
          <w:sz w:val="21"/>
          <w:szCs w:val="21"/>
        </w:rPr>
      </w:pPr>
    </w:p>
    <w:p w14:paraId="58A01860" w14:textId="2EE483C9" w:rsidR="00013AFE" w:rsidRPr="00B60E08" w:rsidRDefault="00516DF7" w:rsidP="00BC5D87">
      <w:pPr>
        <w:pStyle w:val="Header"/>
        <w:widowControl w:val="0"/>
        <w:suppressAutoHyphens/>
        <w:ind w:left="-426" w:right="-285"/>
        <w:jc w:val="both"/>
        <w:rPr>
          <w:rFonts w:ascii="Arial" w:hAnsi="Arial" w:cs="Arial"/>
          <w:sz w:val="21"/>
          <w:szCs w:val="21"/>
          <w:lang w:eastAsia="en-GB"/>
        </w:rPr>
      </w:pPr>
      <w:r w:rsidRPr="00A8515F">
        <w:rPr>
          <w:rFonts w:ascii="Arial" w:hAnsi="Arial" w:cs="Arial"/>
          <w:sz w:val="21"/>
          <w:szCs w:val="21"/>
        </w:rPr>
        <w:t xml:space="preserve">The Green Deal is an important part of the answer. However, to avoid a worsening of the current energy crisis and make the green transition economically and socially workable, the EU needs a coordinated plan to decrease Europe’s energy </w:t>
      </w:r>
      <w:r w:rsidRPr="007611F5">
        <w:rPr>
          <w:rFonts w:ascii="Arial" w:hAnsi="Arial" w:cs="Arial"/>
          <w:sz w:val="21"/>
          <w:szCs w:val="21"/>
        </w:rPr>
        <w:t>dependency,</w:t>
      </w:r>
      <w:r w:rsidRPr="00A8515F">
        <w:rPr>
          <w:rFonts w:ascii="Arial" w:hAnsi="Arial" w:cs="Arial"/>
          <w:sz w:val="21"/>
          <w:szCs w:val="21"/>
        </w:rPr>
        <w:t xml:space="preserve"> bring down barriers to an integrated European energy market, expand energy interconnections, better exploit our own energy production capacities, facilitate investment in all zero- and low-carbon energy sources and solutions necessary for the transition.</w:t>
      </w:r>
      <w:bookmarkStart w:id="1" w:name="_Hlk103944653"/>
      <w:r w:rsidR="00B60E08" w:rsidRPr="00B60E08">
        <w:rPr>
          <w:rFonts w:ascii="Arial" w:hAnsi="Arial" w:cs="Arial"/>
          <w:sz w:val="22"/>
          <w:szCs w:val="22"/>
        </w:rPr>
        <w:t xml:space="preserve"> </w:t>
      </w:r>
      <w:bookmarkEnd w:id="1"/>
    </w:p>
    <w:p w14:paraId="10D40966" w14:textId="77777777" w:rsidR="00013AFE" w:rsidRPr="00A8515F" w:rsidRDefault="00013AFE" w:rsidP="00BC5D87">
      <w:pPr>
        <w:pStyle w:val="Header"/>
        <w:widowControl w:val="0"/>
        <w:tabs>
          <w:tab w:val="clear" w:pos="4536"/>
          <w:tab w:val="clear" w:pos="9072"/>
        </w:tabs>
        <w:suppressAutoHyphens/>
        <w:ind w:left="-426" w:right="-285"/>
        <w:jc w:val="both"/>
        <w:rPr>
          <w:rFonts w:ascii="Arial" w:hAnsi="Arial" w:cs="Arial"/>
          <w:sz w:val="21"/>
          <w:szCs w:val="21"/>
        </w:rPr>
      </w:pPr>
    </w:p>
    <w:p w14:paraId="590CE9C1" w14:textId="5966645E" w:rsidR="00505AE8" w:rsidRPr="000C68C1" w:rsidRDefault="00516DF7" w:rsidP="00BC5D87">
      <w:pPr>
        <w:pStyle w:val="Header"/>
        <w:widowControl w:val="0"/>
        <w:suppressAutoHyphens/>
        <w:ind w:left="-426" w:right="-285"/>
        <w:jc w:val="both"/>
        <w:rPr>
          <w:rFonts w:ascii="Arial" w:hAnsi="Arial" w:cs="Arial"/>
          <w:sz w:val="21"/>
          <w:szCs w:val="21"/>
          <w:lang w:val="en-US" w:eastAsia="en-GB"/>
        </w:rPr>
      </w:pPr>
      <w:r w:rsidRPr="00A8515F">
        <w:rPr>
          <w:rFonts w:ascii="Arial" w:hAnsi="Arial" w:cs="Arial"/>
          <w:sz w:val="21"/>
          <w:szCs w:val="21"/>
        </w:rPr>
        <w:t xml:space="preserve">The war in Ukraine </w:t>
      </w:r>
      <w:r w:rsidR="000F4D41">
        <w:rPr>
          <w:rFonts w:ascii="Arial" w:hAnsi="Arial" w:cs="Arial"/>
          <w:sz w:val="21"/>
          <w:szCs w:val="21"/>
        </w:rPr>
        <w:t xml:space="preserve">has </w:t>
      </w:r>
      <w:r w:rsidRPr="00A8515F">
        <w:rPr>
          <w:rFonts w:ascii="Arial" w:hAnsi="Arial" w:cs="Arial"/>
          <w:sz w:val="21"/>
          <w:szCs w:val="21"/>
        </w:rPr>
        <w:t xml:space="preserve">exacerbated challenges linked to global supply chain disruptions, shortages, and raw material price spikes. To adjust to this new reality and build a more resilient European economy, the EU </w:t>
      </w:r>
      <w:r w:rsidR="000C68C1" w:rsidRPr="00A8515F">
        <w:rPr>
          <w:rFonts w:ascii="Arial" w:hAnsi="Arial" w:cs="Arial"/>
          <w:sz w:val="21"/>
          <w:szCs w:val="21"/>
        </w:rPr>
        <w:t xml:space="preserve">must </w:t>
      </w:r>
      <w:r w:rsidR="000C68C1" w:rsidRPr="000C68C1">
        <w:rPr>
          <w:rFonts w:ascii="Arial" w:hAnsi="Arial" w:cs="Arial"/>
          <w:sz w:val="21"/>
          <w:szCs w:val="21"/>
        </w:rPr>
        <w:t>relaunch</w:t>
      </w:r>
      <w:r w:rsidR="00CB6354" w:rsidRPr="000C68C1">
        <w:rPr>
          <w:rFonts w:ascii="Arial" w:hAnsi="Arial" w:cs="Arial"/>
          <w:sz w:val="21"/>
          <w:szCs w:val="21"/>
        </w:rPr>
        <w:t xml:space="preserve"> its</w:t>
      </w:r>
      <w:r w:rsidR="00BD048B" w:rsidRPr="000C68C1">
        <w:rPr>
          <w:rFonts w:ascii="Arial" w:hAnsi="Arial" w:cs="Arial"/>
          <w:sz w:val="21"/>
          <w:szCs w:val="21"/>
        </w:rPr>
        <w:t xml:space="preserve"> industrial strategy</w:t>
      </w:r>
      <w:r w:rsidR="00505AE8" w:rsidRPr="000C68C1">
        <w:rPr>
          <w:rFonts w:ascii="Arial" w:hAnsi="Arial" w:cs="Arial"/>
          <w:sz w:val="21"/>
          <w:szCs w:val="21"/>
        </w:rPr>
        <w:t>. The development of the EU’s defence pillar creates new opportunities for synergies between the public and private sector, including for research and innovation, with positive spill over effects across all sectors of the economy</w:t>
      </w:r>
      <w:r w:rsidR="000C68C1" w:rsidRPr="000C68C1">
        <w:rPr>
          <w:rFonts w:ascii="Arial" w:hAnsi="Arial" w:cs="Arial"/>
          <w:sz w:val="21"/>
          <w:szCs w:val="21"/>
        </w:rPr>
        <w:t xml:space="preserve">, in </w:t>
      </w:r>
      <w:r w:rsidR="00CB6354" w:rsidRPr="000C68C1">
        <w:rPr>
          <w:rFonts w:ascii="Arial" w:hAnsi="Arial" w:cs="Arial"/>
          <w:sz w:val="21"/>
          <w:szCs w:val="21"/>
        </w:rPr>
        <w:t>a real EU defence market.</w:t>
      </w:r>
    </w:p>
    <w:p w14:paraId="54F59096" w14:textId="77777777" w:rsidR="00505AE8" w:rsidRPr="000C68C1" w:rsidRDefault="00505AE8" w:rsidP="00BC5D87">
      <w:pPr>
        <w:pStyle w:val="Header"/>
        <w:widowControl w:val="0"/>
        <w:tabs>
          <w:tab w:val="clear" w:pos="4536"/>
          <w:tab w:val="clear" w:pos="9072"/>
        </w:tabs>
        <w:suppressAutoHyphens/>
        <w:ind w:left="-426" w:right="-285"/>
        <w:jc w:val="both"/>
        <w:rPr>
          <w:rFonts w:ascii="Arial" w:hAnsi="Arial" w:cs="Arial"/>
          <w:sz w:val="21"/>
          <w:szCs w:val="21"/>
        </w:rPr>
      </w:pPr>
    </w:p>
    <w:p w14:paraId="7AF8BFAF" w14:textId="6BAA5169" w:rsidR="00901809" w:rsidRPr="00A8515F" w:rsidRDefault="00505AE8" w:rsidP="00BC5D87">
      <w:pPr>
        <w:pStyle w:val="Header"/>
        <w:widowControl w:val="0"/>
        <w:tabs>
          <w:tab w:val="clear" w:pos="4536"/>
          <w:tab w:val="clear" w:pos="9072"/>
        </w:tabs>
        <w:suppressAutoHyphens/>
        <w:ind w:left="-426" w:right="-285"/>
        <w:jc w:val="both"/>
        <w:rPr>
          <w:rFonts w:ascii="Arial" w:hAnsi="Arial" w:cs="Arial"/>
          <w:sz w:val="21"/>
          <w:szCs w:val="21"/>
        </w:rPr>
      </w:pPr>
      <w:r w:rsidRPr="000C68C1">
        <w:rPr>
          <w:rFonts w:ascii="Arial" w:hAnsi="Arial" w:cs="Arial"/>
          <w:sz w:val="21"/>
          <w:szCs w:val="21"/>
        </w:rPr>
        <w:t>At the same time, the EU must</w:t>
      </w:r>
      <w:r w:rsidR="00BD048B">
        <w:rPr>
          <w:rFonts w:ascii="Arial" w:hAnsi="Arial" w:cs="Arial"/>
          <w:sz w:val="21"/>
          <w:szCs w:val="21"/>
        </w:rPr>
        <w:t xml:space="preserve"> </w:t>
      </w:r>
      <w:r w:rsidR="00516DF7" w:rsidRPr="00A8515F">
        <w:rPr>
          <w:rFonts w:ascii="Arial" w:hAnsi="Arial" w:cs="Arial"/>
          <w:sz w:val="21"/>
          <w:szCs w:val="21"/>
        </w:rPr>
        <w:t xml:space="preserve">pursue an ambitious trade policy that can respond to successive shocks. The European Union needs to reduce dependencies and exposure to unreliable suppliers, build coalitions with like-minded partners and diversify sources of supply. </w:t>
      </w:r>
      <w:r w:rsidR="002748D7" w:rsidRPr="00A8515F">
        <w:rPr>
          <w:rFonts w:ascii="Arial" w:eastAsia="Times New Roman" w:hAnsi="Arial" w:cs="Arial"/>
          <w:sz w:val="21"/>
          <w:szCs w:val="21"/>
        </w:rPr>
        <w:t xml:space="preserve">We count on the Czech Presidency to promote the </w:t>
      </w:r>
      <w:r w:rsidR="00516DF7" w:rsidRPr="00A8515F">
        <w:rPr>
          <w:rFonts w:ascii="Arial" w:hAnsi="Arial" w:cs="Arial"/>
          <w:sz w:val="21"/>
          <w:szCs w:val="21"/>
        </w:rPr>
        <w:t xml:space="preserve">opening </w:t>
      </w:r>
      <w:r w:rsidR="002748D7" w:rsidRPr="00A8515F">
        <w:rPr>
          <w:rFonts w:ascii="Arial" w:hAnsi="Arial" w:cs="Arial"/>
          <w:sz w:val="21"/>
          <w:szCs w:val="21"/>
        </w:rPr>
        <w:t xml:space="preserve">of </w:t>
      </w:r>
      <w:r w:rsidR="00516DF7" w:rsidRPr="00A8515F">
        <w:rPr>
          <w:rFonts w:ascii="Arial" w:hAnsi="Arial" w:cs="Arial"/>
          <w:sz w:val="21"/>
          <w:szCs w:val="21"/>
        </w:rPr>
        <w:t xml:space="preserve">new trade and investment deals for European companies across the world, </w:t>
      </w:r>
      <w:r w:rsidR="002748D7" w:rsidRPr="00A8515F">
        <w:rPr>
          <w:rFonts w:ascii="Arial" w:hAnsi="Arial" w:cs="Arial"/>
          <w:sz w:val="21"/>
          <w:szCs w:val="21"/>
        </w:rPr>
        <w:t xml:space="preserve">the </w:t>
      </w:r>
      <w:r w:rsidR="00516DF7" w:rsidRPr="00A8515F">
        <w:rPr>
          <w:rFonts w:ascii="Arial" w:hAnsi="Arial" w:cs="Arial"/>
          <w:sz w:val="21"/>
          <w:szCs w:val="21"/>
        </w:rPr>
        <w:t>accelerati</w:t>
      </w:r>
      <w:r w:rsidR="002748D7" w:rsidRPr="00A8515F">
        <w:rPr>
          <w:rFonts w:ascii="Arial" w:hAnsi="Arial" w:cs="Arial"/>
          <w:sz w:val="21"/>
          <w:szCs w:val="21"/>
        </w:rPr>
        <w:t>on</w:t>
      </w:r>
      <w:r w:rsidR="00516DF7" w:rsidRPr="00A8515F">
        <w:rPr>
          <w:rFonts w:ascii="Arial" w:hAnsi="Arial" w:cs="Arial"/>
          <w:sz w:val="21"/>
          <w:szCs w:val="21"/>
        </w:rPr>
        <w:t xml:space="preserve"> </w:t>
      </w:r>
      <w:r w:rsidR="002748D7" w:rsidRPr="00A8515F">
        <w:rPr>
          <w:rFonts w:ascii="Arial" w:hAnsi="Arial" w:cs="Arial"/>
          <w:sz w:val="21"/>
          <w:szCs w:val="21"/>
        </w:rPr>
        <w:t>of</w:t>
      </w:r>
      <w:r w:rsidR="00516DF7" w:rsidRPr="00A8515F">
        <w:rPr>
          <w:rFonts w:ascii="Arial" w:hAnsi="Arial" w:cs="Arial"/>
          <w:sz w:val="21"/>
          <w:szCs w:val="21"/>
        </w:rPr>
        <w:t xml:space="preserve"> ratification of negotiated bilateral free trade agreements such </w:t>
      </w:r>
      <w:r w:rsidR="00516DF7" w:rsidRPr="00A8515F">
        <w:rPr>
          <w:rFonts w:ascii="Arial" w:hAnsi="Arial" w:cs="Arial"/>
          <w:sz w:val="21"/>
          <w:szCs w:val="21"/>
        </w:rPr>
        <w:lastRenderedPageBreak/>
        <w:t xml:space="preserve">as with Mercosur, Mexico, and Chile and </w:t>
      </w:r>
      <w:r w:rsidR="002748D7" w:rsidRPr="00A8515F">
        <w:rPr>
          <w:rFonts w:ascii="Arial" w:hAnsi="Arial" w:cs="Arial"/>
          <w:sz w:val="21"/>
          <w:szCs w:val="21"/>
        </w:rPr>
        <w:t xml:space="preserve">the </w:t>
      </w:r>
      <w:r w:rsidR="00516DF7" w:rsidRPr="00A8515F">
        <w:rPr>
          <w:rFonts w:ascii="Arial" w:hAnsi="Arial" w:cs="Arial"/>
          <w:sz w:val="21"/>
          <w:szCs w:val="21"/>
        </w:rPr>
        <w:t>deepening</w:t>
      </w:r>
      <w:r w:rsidR="002748D7" w:rsidRPr="00A8515F">
        <w:rPr>
          <w:rFonts w:ascii="Arial" w:hAnsi="Arial" w:cs="Arial"/>
          <w:sz w:val="21"/>
          <w:szCs w:val="21"/>
        </w:rPr>
        <w:t xml:space="preserve"> of </w:t>
      </w:r>
      <w:r w:rsidR="00516DF7" w:rsidRPr="00A8515F">
        <w:rPr>
          <w:rFonts w:ascii="Arial" w:hAnsi="Arial" w:cs="Arial"/>
          <w:sz w:val="21"/>
          <w:szCs w:val="21"/>
        </w:rPr>
        <w:t>trade relations with key international partners such as the US and the UK.</w:t>
      </w:r>
      <w:r w:rsidR="00FC1AF5" w:rsidRPr="00A8515F">
        <w:rPr>
          <w:rFonts w:ascii="Arial" w:hAnsi="Arial" w:cs="Arial"/>
          <w:sz w:val="21"/>
          <w:szCs w:val="21"/>
        </w:rPr>
        <w:t xml:space="preserve"> </w:t>
      </w:r>
    </w:p>
    <w:p w14:paraId="7BFB0997" w14:textId="77777777" w:rsidR="00901809" w:rsidRPr="00A8515F" w:rsidRDefault="00901809" w:rsidP="00BC5D87">
      <w:pPr>
        <w:pStyle w:val="Header"/>
        <w:widowControl w:val="0"/>
        <w:tabs>
          <w:tab w:val="clear" w:pos="4536"/>
          <w:tab w:val="clear" w:pos="9072"/>
        </w:tabs>
        <w:suppressAutoHyphens/>
        <w:ind w:left="-426" w:right="-285"/>
        <w:jc w:val="both"/>
        <w:rPr>
          <w:rFonts w:ascii="Arial" w:hAnsi="Arial" w:cs="Arial"/>
          <w:sz w:val="21"/>
          <w:szCs w:val="21"/>
        </w:rPr>
      </w:pPr>
    </w:p>
    <w:p w14:paraId="31793E76" w14:textId="2394F332" w:rsidR="00013AFE" w:rsidRPr="00A8515F" w:rsidRDefault="00106F35" w:rsidP="00BC5D87">
      <w:pPr>
        <w:pStyle w:val="Header"/>
        <w:widowControl w:val="0"/>
        <w:tabs>
          <w:tab w:val="clear" w:pos="4536"/>
          <w:tab w:val="clear" w:pos="9072"/>
        </w:tabs>
        <w:suppressAutoHyphens/>
        <w:ind w:left="-426" w:right="-285"/>
        <w:jc w:val="both"/>
        <w:rPr>
          <w:rFonts w:ascii="Arial" w:eastAsia="Times New Roman" w:hAnsi="Arial" w:cs="Arial"/>
          <w:sz w:val="21"/>
          <w:szCs w:val="21"/>
        </w:rPr>
      </w:pPr>
      <w:r w:rsidRPr="00A8515F">
        <w:rPr>
          <w:rFonts w:ascii="Arial" w:hAnsi="Arial" w:cs="Arial"/>
          <w:sz w:val="21"/>
          <w:szCs w:val="21"/>
        </w:rPr>
        <w:t>W</w:t>
      </w:r>
      <w:r w:rsidR="00FC1AF5" w:rsidRPr="00A8515F">
        <w:rPr>
          <w:rFonts w:ascii="Arial" w:hAnsi="Arial" w:cs="Arial"/>
          <w:sz w:val="21"/>
          <w:szCs w:val="21"/>
        </w:rPr>
        <w:t xml:space="preserve">e support cooperation </w:t>
      </w:r>
      <w:r w:rsidR="00085808" w:rsidRPr="00A8515F">
        <w:rPr>
          <w:rFonts w:ascii="Arial" w:hAnsi="Arial" w:cs="Arial"/>
          <w:sz w:val="21"/>
          <w:szCs w:val="21"/>
        </w:rPr>
        <w:t xml:space="preserve">with the US </w:t>
      </w:r>
      <w:r w:rsidR="00FC1AF5" w:rsidRPr="00A8515F">
        <w:rPr>
          <w:rFonts w:ascii="Arial" w:hAnsi="Arial" w:cs="Arial"/>
          <w:sz w:val="21"/>
          <w:szCs w:val="21"/>
        </w:rPr>
        <w:t xml:space="preserve">in </w:t>
      </w:r>
      <w:r w:rsidR="00085808" w:rsidRPr="00A8515F">
        <w:rPr>
          <w:rFonts w:ascii="Arial" w:hAnsi="Arial" w:cs="Arial"/>
          <w:sz w:val="21"/>
          <w:szCs w:val="21"/>
        </w:rPr>
        <w:t xml:space="preserve">the </w:t>
      </w:r>
      <w:r w:rsidR="00FC1AF5" w:rsidRPr="00A8515F">
        <w:rPr>
          <w:rFonts w:ascii="Arial" w:hAnsi="Arial" w:cs="Arial"/>
          <w:sz w:val="21"/>
          <w:szCs w:val="21"/>
        </w:rPr>
        <w:t>Trade and Technology Council (TTC</w:t>
      </w:r>
      <w:r w:rsidR="00085808" w:rsidRPr="00A8515F">
        <w:rPr>
          <w:rFonts w:ascii="Arial" w:hAnsi="Arial" w:cs="Arial"/>
          <w:sz w:val="21"/>
          <w:szCs w:val="21"/>
        </w:rPr>
        <w:t>) and</w:t>
      </w:r>
      <w:r w:rsidR="00FC1AF5" w:rsidRPr="00A8515F">
        <w:rPr>
          <w:rFonts w:ascii="Arial" w:eastAsia="Times New Roman" w:hAnsi="Arial" w:cs="Arial"/>
          <w:sz w:val="21"/>
          <w:szCs w:val="21"/>
        </w:rPr>
        <w:t xml:space="preserve"> appreciate that an "agreement in principle" has been reached on a new framework </w:t>
      </w:r>
      <w:r w:rsidR="00085808" w:rsidRPr="00A8515F">
        <w:rPr>
          <w:rFonts w:ascii="Arial" w:hAnsi="Arial" w:cs="Arial"/>
          <w:sz w:val="21"/>
          <w:szCs w:val="21"/>
        </w:rPr>
        <w:t>for transatlantic data transfers. We count on the</w:t>
      </w:r>
      <w:r w:rsidR="00FC1AF5" w:rsidRPr="00A8515F">
        <w:rPr>
          <w:rFonts w:ascii="Arial" w:eastAsia="Times New Roman" w:hAnsi="Arial" w:cs="Arial"/>
          <w:sz w:val="21"/>
          <w:szCs w:val="21"/>
        </w:rPr>
        <w:t xml:space="preserve"> Czech Presidency </w:t>
      </w:r>
      <w:r w:rsidR="00085808" w:rsidRPr="00A8515F">
        <w:rPr>
          <w:rFonts w:ascii="Arial" w:eastAsia="Times New Roman" w:hAnsi="Arial" w:cs="Arial"/>
          <w:sz w:val="21"/>
          <w:szCs w:val="21"/>
        </w:rPr>
        <w:t>to</w:t>
      </w:r>
      <w:r w:rsidR="00FC1AF5" w:rsidRPr="00A8515F">
        <w:rPr>
          <w:rFonts w:ascii="Arial" w:eastAsia="Times New Roman" w:hAnsi="Arial" w:cs="Arial"/>
          <w:sz w:val="21"/>
          <w:szCs w:val="21"/>
        </w:rPr>
        <w:t xml:space="preserve"> contribute to its swift finalization and implementatio</w:t>
      </w:r>
      <w:r w:rsidR="00E82139" w:rsidRPr="00A8515F">
        <w:rPr>
          <w:rFonts w:ascii="Arial" w:eastAsia="Times New Roman" w:hAnsi="Arial" w:cs="Arial"/>
          <w:sz w:val="21"/>
          <w:szCs w:val="21"/>
        </w:rPr>
        <w:t>n</w:t>
      </w:r>
      <w:r w:rsidR="00FC1AF5" w:rsidRPr="00A8515F">
        <w:rPr>
          <w:rFonts w:ascii="Arial" w:eastAsia="Times New Roman" w:hAnsi="Arial" w:cs="Arial"/>
          <w:sz w:val="21"/>
          <w:szCs w:val="21"/>
        </w:rPr>
        <w:t>.</w:t>
      </w:r>
      <w:r w:rsidR="00CF0EAD" w:rsidRPr="00A8515F">
        <w:rPr>
          <w:rFonts w:ascii="Arial" w:eastAsia="Times New Roman" w:hAnsi="Arial" w:cs="Arial"/>
          <w:sz w:val="21"/>
          <w:szCs w:val="21"/>
        </w:rPr>
        <w:t xml:space="preserve"> </w:t>
      </w:r>
    </w:p>
    <w:p w14:paraId="5289D0B4" w14:textId="413848DE" w:rsidR="007C4753" w:rsidRDefault="007C4753" w:rsidP="00BC5D87">
      <w:pPr>
        <w:pStyle w:val="Header"/>
        <w:widowControl w:val="0"/>
        <w:tabs>
          <w:tab w:val="clear" w:pos="4536"/>
          <w:tab w:val="clear" w:pos="9072"/>
        </w:tabs>
        <w:suppressAutoHyphens/>
        <w:ind w:left="-426" w:right="-285"/>
        <w:jc w:val="both"/>
        <w:rPr>
          <w:rFonts w:ascii="Arial" w:eastAsia="Times New Roman" w:hAnsi="Arial" w:cs="Arial"/>
          <w:sz w:val="22"/>
          <w:szCs w:val="22"/>
        </w:rPr>
      </w:pPr>
    </w:p>
    <w:p w14:paraId="52E2276B" w14:textId="0FA0732A" w:rsidR="008E4A71" w:rsidRDefault="00C757BD" w:rsidP="00BC5D87">
      <w:pPr>
        <w:pStyle w:val="Header"/>
        <w:widowControl w:val="0"/>
        <w:tabs>
          <w:tab w:val="clear" w:pos="4536"/>
          <w:tab w:val="clear" w:pos="9072"/>
        </w:tabs>
        <w:suppressAutoHyphens/>
        <w:ind w:left="-426" w:right="-285"/>
        <w:jc w:val="both"/>
        <w:rPr>
          <w:rFonts w:ascii="Arial" w:eastAsia="Times New Roman" w:hAnsi="Arial" w:cs="Arial"/>
          <w:sz w:val="21"/>
          <w:szCs w:val="21"/>
        </w:rPr>
      </w:pPr>
      <w:r w:rsidRPr="00BD048B">
        <w:rPr>
          <w:rFonts w:ascii="Arial" w:eastAsia="Times New Roman" w:hAnsi="Arial" w:cs="Arial"/>
          <w:sz w:val="21"/>
          <w:szCs w:val="21"/>
        </w:rPr>
        <w:t xml:space="preserve">Both the COVID-19 pandemic and the war in Ukraine demonstrate the importance of </w:t>
      </w:r>
      <w:r w:rsidR="00BD048B" w:rsidRPr="00BD048B">
        <w:rPr>
          <w:rFonts w:ascii="Arial" w:eastAsia="Times New Roman" w:hAnsi="Arial" w:cs="Arial"/>
          <w:sz w:val="21"/>
          <w:szCs w:val="21"/>
        </w:rPr>
        <w:t xml:space="preserve">the digital economy, new technologies and the need to ensure cyber security. </w:t>
      </w:r>
      <w:r w:rsidR="007C4753" w:rsidRPr="00BD048B">
        <w:rPr>
          <w:rFonts w:ascii="Arial" w:eastAsia="Times New Roman" w:hAnsi="Arial" w:cs="Arial"/>
          <w:sz w:val="21"/>
          <w:szCs w:val="21"/>
        </w:rPr>
        <w:t xml:space="preserve">Close </w:t>
      </w:r>
      <w:r w:rsidR="008E4A71" w:rsidRPr="00BD048B">
        <w:rPr>
          <w:rFonts w:ascii="Arial" w:eastAsia="Times New Roman" w:hAnsi="Arial" w:cs="Arial"/>
          <w:sz w:val="21"/>
          <w:szCs w:val="21"/>
        </w:rPr>
        <w:t xml:space="preserve">cooperation with </w:t>
      </w:r>
      <w:r w:rsidR="007C4753" w:rsidRPr="00BD048B">
        <w:rPr>
          <w:rFonts w:ascii="Arial" w:eastAsia="Times New Roman" w:hAnsi="Arial" w:cs="Arial"/>
          <w:sz w:val="21"/>
          <w:szCs w:val="21"/>
        </w:rPr>
        <w:t>like-minded partners who share our values</w:t>
      </w:r>
      <w:r w:rsidR="008E4A71" w:rsidRPr="00BD048B">
        <w:rPr>
          <w:rFonts w:ascii="Arial" w:eastAsia="Times New Roman" w:hAnsi="Arial" w:cs="Arial"/>
          <w:sz w:val="21"/>
          <w:szCs w:val="21"/>
        </w:rPr>
        <w:t xml:space="preserve"> </w:t>
      </w:r>
      <w:r w:rsidR="007C4753" w:rsidRPr="00BD048B">
        <w:rPr>
          <w:rFonts w:ascii="Arial" w:eastAsia="Times New Roman" w:hAnsi="Arial" w:cs="Arial"/>
          <w:sz w:val="21"/>
          <w:szCs w:val="21"/>
        </w:rPr>
        <w:t>is essential to respond effectively to</w:t>
      </w:r>
      <w:r w:rsidR="008E4A71" w:rsidRPr="00BD048B">
        <w:rPr>
          <w:rFonts w:ascii="Arial" w:eastAsia="Times New Roman" w:hAnsi="Arial" w:cs="Arial"/>
          <w:sz w:val="21"/>
          <w:szCs w:val="21"/>
        </w:rPr>
        <w:t xml:space="preserve"> cyber security challenges </w:t>
      </w:r>
      <w:r w:rsidR="00865655" w:rsidRPr="00BD048B">
        <w:rPr>
          <w:rFonts w:ascii="Arial" w:eastAsia="Times New Roman" w:hAnsi="Arial" w:cs="Arial"/>
          <w:sz w:val="21"/>
          <w:szCs w:val="21"/>
        </w:rPr>
        <w:t>such as</w:t>
      </w:r>
      <w:r w:rsidR="007C4753" w:rsidRPr="00BD048B">
        <w:rPr>
          <w:rFonts w:ascii="Arial" w:eastAsia="Times New Roman" w:hAnsi="Arial" w:cs="Arial"/>
          <w:sz w:val="21"/>
          <w:szCs w:val="21"/>
        </w:rPr>
        <w:t xml:space="preserve"> </w:t>
      </w:r>
      <w:r w:rsidR="00D70C92" w:rsidRPr="00BD048B">
        <w:rPr>
          <w:rFonts w:ascii="Arial" w:eastAsia="Times New Roman" w:hAnsi="Arial" w:cs="Arial"/>
          <w:sz w:val="21"/>
          <w:szCs w:val="21"/>
        </w:rPr>
        <w:t>cyber-attacks</w:t>
      </w:r>
      <w:r w:rsidR="007C4753" w:rsidRPr="00BD048B">
        <w:rPr>
          <w:rFonts w:ascii="Arial" w:eastAsia="Times New Roman" w:hAnsi="Arial" w:cs="Arial"/>
          <w:sz w:val="21"/>
          <w:szCs w:val="21"/>
        </w:rPr>
        <w:t xml:space="preserve"> on key institutions an</w:t>
      </w:r>
      <w:r w:rsidR="006341E6" w:rsidRPr="00BD048B">
        <w:rPr>
          <w:rFonts w:ascii="Arial" w:eastAsia="Times New Roman" w:hAnsi="Arial" w:cs="Arial"/>
          <w:sz w:val="21"/>
          <w:szCs w:val="21"/>
        </w:rPr>
        <w:t xml:space="preserve">d </w:t>
      </w:r>
      <w:r w:rsidR="007C4753" w:rsidRPr="00BD048B">
        <w:rPr>
          <w:rFonts w:ascii="Arial" w:eastAsia="Times New Roman" w:hAnsi="Arial" w:cs="Arial"/>
          <w:sz w:val="21"/>
          <w:szCs w:val="21"/>
        </w:rPr>
        <w:t>infrastructures</w:t>
      </w:r>
      <w:r w:rsidR="008E4A71" w:rsidRPr="00BD048B">
        <w:rPr>
          <w:rFonts w:ascii="Arial" w:eastAsia="Times New Roman" w:hAnsi="Arial" w:cs="Arial"/>
          <w:sz w:val="21"/>
          <w:szCs w:val="21"/>
        </w:rPr>
        <w:t>.</w:t>
      </w:r>
    </w:p>
    <w:p w14:paraId="169B7324" w14:textId="77777777" w:rsidR="00013AFE" w:rsidRPr="00A8515F" w:rsidRDefault="00013AFE" w:rsidP="00BC5D87">
      <w:pPr>
        <w:ind w:left="-426" w:right="-285"/>
        <w:jc w:val="both"/>
        <w:rPr>
          <w:rFonts w:ascii="Arial" w:eastAsia="Times New Roman" w:hAnsi="Arial" w:cs="Arial"/>
          <w:b/>
          <w:bCs/>
          <w:sz w:val="21"/>
          <w:szCs w:val="21"/>
        </w:rPr>
      </w:pPr>
    </w:p>
    <w:p w14:paraId="649CEAF1" w14:textId="78A614E5" w:rsidR="00013AFE" w:rsidRPr="00A8515F" w:rsidRDefault="00516DF7" w:rsidP="00BC5D87">
      <w:pPr>
        <w:pStyle w:val="ListParagraph"/>
        <w:numPr>
          <w:ilvl w:val="0"/>
          <w:numId w:val="1"/>
        </w:numPr>
        <w:ind w:left="-426" w:right="-285"/>
        <w:jc w:val="both"/>
        <w:rPr>
          <w:rFonts w:ascii="Arial" w:eastAsia="Times New Roman" w:hAnsi="Arial" w:cs="Arial"/>
          <w:sz w:val="21"/>
          <w:szCs w:val="21"/>
          <w:lang w:val="en-GB"/>
        </w:rPr>
      </w:pPr>
      <w:r w:rsidRPr="00A8515F">
        <w:rPr>
          <w:rFonts w:ascii="Arial" w:eastAsia="Times New Roman" w:hAnsi="Arial" w:cs="Arial"/>
          <w:b/>
          <w:bCs/>
          <w:sz w:val="21"/>
          <w:szCs w:val="21"/>
          <w:lang w:val="en-GB"/>
        </w:rPr>
        <w:t>Adapting mid and long-term EU policies to the new reality</w:t>
      </w:r>
    </w:p>
    <w:p w14:paraId="72EE0899" w14:textId="77777777" w:rsidR="00013AFE" w:rsidRPr="00A8515F" w:rsidRDefault="00013AFE" w:rsidP="00BC5D87">
      <w:pPr>
        <w:pStyle w:val="ListParagraph"/>
        <w:ind w:left="-426" w:right="-285"/>
        <w:jc w:val="both"/>
        <w:rPr>
          <w:rFonts w:ascii="Arial" w:eastAsia="Times New Roman" w:hAnsi="Arial" w:cs="Arial"/>
          <w:b/>
          <w:bCs/>
          <w:sz w:val="21"/>
          <w:szCs w:val="21"/>
          <w:lang w:val="en-GB"/>
        </w:rPr>
      </w:pPr>
    </w:p>
    <w:p w14:paraId="22455723" w14:textId="470FC6B3" w:rsidR="00013AFE" w:rsidRPr="00A8515F" w:rsidRDefault="00516DF7" w:rsidP="00BC5D87">
      <w:pPr>
        <w:ind w:left="-426" w:right="-285"/>
        <w:jc w:val="both"/>
        <w:rPr>
          <w:rFonts w:ascii="Arial" w:eastAsia="Times New Roman" w:hAnsi="Arial" w:cs="Arial"/>
          <w:sz w:val="21"/>
          <w:szCs w:val="21"/>
        </w:rPr>
      </w:pPr>
      <w:r w:rsidRPr="00A8515F">
        <w:rPr>
          <w:rFonts w:ascii="Arial" w:eastAsia="Times New Roman" w:hAnsi="Arial" w:cs="Arial"/>
          <w:sz w:val="21"/>
          <w:szCs w:val="21"/>
        </w:rPr>
        <w:t>Whilst inflationary pressures within the EU have been driven primarily by rising global energy and food prices, we must all guard against such temporary pressures raising long-term inflation expectations</w:t>
      </w:r>
      <w:r w:rsidRPr="00A8515F">
        <w:rPr>
          <w:rFonts w:ascii="Arial" w:eastAsia="Times New Roman" w:hAnsi="Arial" w:cs="Arial"/>
          <w:sz w:val="21"/>
          <w:szCs w:val="21"/>
          <w:lang w:val="en-US"/>
        </w:rPr>
        <w:t>.</w:t>
      </w:r>
      <w:r w:rsidR="00C1161B" w:rsidRPr="00A8515F">
        <w:rPr>
          <w:rFonts w:ascii="Arial" w:eastAsia="Times New Roman" w:hAnsi="Arial" w:cs="Arial"/>
          <w:sz w:val="21"/>
          <w:szCs w:val="21"/>
          <w:lang w:val="en-US"/>
        </w:rPr>
        <w:t xml:space="preserve"> </w:t>
      </w:r>
      <w:r w:rsidR="00702F8B" w:rsidRPr="00A8515F">
        <w:rPr>
          <w:rFonts w:ascii="Arial" w:eastAsia="Times New Roman" w:hAnsi="Arial" w:cs="Arial"/>
          <w:sz w:val="21"/>
          <w:szCs w:val="21"/>
          <w:lang w:val="en-US"/>
        </w:rPr>
        <w:t xml:space="preserve">Rather than unsustainable wage increases </w:t>
      </w:r>
      <w:r w:rsidR="00964B7E" w:rsidRPr="00A8515F">
        <w:rPr>
          <w:rFonts w:ascii="Arial" w:eastAsia="Times New Roman" w:hAnsi="Arial" w:cs="Arial"/>
          <w:sz w:val="21"/>
          <w:szCs w:val="21"/>
          <w:lang w:val="en-US"/>
        </w:rPr>
        <w:t>creating</w:t>
      </w:r>
      <w:r w:rsidR="00702F8B" w:rsidRPr="00A8515F">
        <w:rPr>
          <w:rFonts w:ascii="Arial" w:eastAsia="Times New Roman" w:hAnsi="Arial" w:cs="Arial"/>
          <w:sz w:val="21"/>
          <w:szCs w:val="21"/>
          <w:lang w:val="en-US"/>
        </w:rPr>
        <w:t xml:space="preserve"> a damaging wage-price spiral, the</w:t>
      </w:r>
      <w:r w:rsidRPr="00A8515F">
        <w:rPr>
          <w:rFonts w:ascii="Arial" w:eastAsia="Times New Roman" w:hAnsi="Arial" w:cs="Arial"/>
          <w:sz w:val="21"/>
          <w:szCs w:val="21"/>
        </w:rPr>
        <w:t xml:space="preserve"> response to st</w:t>
      </w:r>
      <w:r w:rsidR="00AB07F6" w:rsidRPr="00A8515F">
        <w:rPr>
          <w:rFonts w:ascii="Arial" w:eastAsia="Times New Roman" w:hAnsi="Arial" w:cs="Arial"/>
          <w:sz w:val="21"/>
          <w:szCs w:val="21"/>
        </w:rPr>
        <w:t>r</w:t>
      </w:r>
      <w:r w:rsidRPr="00A8515F">
        <w:rPr>
          <w:rFonts w:ascii="Arial" w:eastAsia="Times New Roman" w:hAnsi="Arial" w:cs="Arial"/>
          <w:sz w:val="21"/>
          <w:szCs w:val="21"/>
        </w:rPr>
        <w:t xml:space="preserve">engthen peoples’ purchasing power must be to implement a proactive growth agenda that supports the competitiveness of </w:t>
      </w:r>
      <w:r w:rsidR="00702F8B" w:rsidRPr="00A8515F">
        <w:rPr>
          <w:rFonts w:ascii="Arial" w:eastAsia="Times New Roman" w:hAnsi="Arial" w:cs="Arial"/>
          <w:sz w:val="21"/>
          <w:szCs w:val="21"/>
        </w:rPr>
        <w:t xml:space="preserve">European </w:t>
      </w:r>
      <w:r w:rsidRPr="00A8515F">
        <w:rPr>
          <w:rFonts w:ascii="Arial" w:eastAsia="Times New Roman" w:hAnsi="Arial" w:cs="Arial"/>
          <w:sz w:val="21"/>
          <w:szCs w:val="21"/>
        </w:rPr>
        <w:t xml:space="preserve">companies. Governments must address labour and skills shortages that undermine the recovery and pursue policies that increase productivity and innovation as this is the basis </w:t>
      </w:r>
      <w:r w:rsidR="00C1161B" w:rsidRPr="00A8515F">
        <w:rPr>
          <w:rFonts w:ascii="Arial" w:eastAsia="Times New Roman" w:hAnsi="Arial" w:cs="Arial"/>
          <w:sz w:val="21"/>
          <w:szCs w:val="21"/>
        </w:rPr>
        <w:t>for</w:t>
      </w:r>
      <w:r w:rsidRPr="00A8515F">
        <w:rPr>
          <w:rFonts w:ascii="Arial" w:eastAsia="Times New Roman" w:hAnsi="Arial" w:cs="Arial"/>
          <w:sz w:val="21"/>
          <w:szCs w:val="21"/>
        </w:rPr>
        <w:t xml:space="preserve"> sustained prosperity</w:t>
      </w:r>
      <w:r w:rsidR="002D1DE2" w:rsidRPr="00A8515F">
        <w:rPr>
          <w:rFonts w:ascii="Arial" w:eastAsia="Times New Roman" w:hAnsi="Arial" w:cs="Arial"/>
          <w:sz w:val="21"/>
          <w:szCs w:val="21"/>
        </w:rPr>
        <w:t xml:space="preserve"> and job creation</w:t>
      </w:r>
      <w:r w:rsidRPr="00A8515F">
        <w:rPr>
          <w:rFonts w:ascii="Arial" w:eastAsia="Times New Roman" w:hAnsi="Arial" w:cs="Arial"/>
          <w:sz w:val="21"/>
          <w:szCs w:val="21"/>
        </w:rPr>
        <w:t xml:space="preserve">. </w:t>
      </w:r>
    </w:p>
    <w:p w14:paraId="592CA4CB" w14:textId="77777777" w:rsidR="00013AFE" w:rsidRPr="00A8515F" w:rsidRDefault="00013AFE" w:rsidP="00BC5D87">
      <w:pPr>
        <w:ind w:left="-426" w:right="-285"/>
        <w:jc w:val="both"/>
        <w:rPr>
          <w:rFonts w:ascii="Arial" w:eastAsia="Times New Roman" w:hAnsi="Arial" w:cs="Arial"/>
          <w:sz w:val="21"/>
          <w:szCs w:val="21"/>
        </w:rPr>
      </w:pPr>
    </w:p>
    <w:p w14:paraId="20BAD9BD" w14:textId="76A09A6A" w:rsidR="00013AFE" w:rsidRPr="00A8515F" w:rsidRDefault="00870D40" w:rsidP="00BC5D87">
      <w:pPr>
        <w:ind w:left="-426" w:right="-285"/>
        <w:jc w:val="both"/>
        <w:rPr>
          <w:rFonts w:ascii="Arial" w:eastAsia="Times New Roman" w:hAnsi="Arial" w:cs="Arial"/>
          <w:sz w:val="21"/>
          <w:szCs w:val="21"/>
        </w:rPr>
      </w:pPr>
      <w:bookmarkStart w:id="2" w:name="_Hlk102569266"/>
      <w:r w:rsidRPr="00A8515F">
        <w:rPr>
          <w:rFonts w:ascii="Arial" w:eastAsia="Times New Roman" w:hAnsi="Arial" w:cs="Arial"/>
          <w:sz w:val="21"/>
          <w:szCs w:val="21"/>
        </w:rPr>
        <w:t xml:space="preserve">Unlocking the full potential of </w:t>
      </w:r>
      <w:r w:rsidR="009930CB">
        <w:rPr>
          <w:rFonts w:ascii="Arial" w:eastAsia="Times New Roman" w:hAnsi="Arial" w:cs="Arial"/>
          <w:sz w:val="21"/>
          <w:szCs w:val="21"/>
        </w:rPr>
        <w:t>our</w:t>
      </w:r>
      <w:r w:rsidRPr="00A8515F">
        <w:rPr>
          <w:rFonts w:ascii="Arial" w:eastAsia="Times New Roman" w:hAnsi="Arial" w:cs="Arial"/>
          <w:sz w:val="21"/>
          <w:szCs w:val="21"/>
        </w:rPr>
        <w:t xml:space="preserve"> Single Market, d</w:t>
      </w:r>
      <w:r w:rsidR="00516DF7" w:rsidRPr="00A8515F">
        <w:rPr>
          <w:rFonts w:ascii="Arial" w:eastAsia="Times New Roman" w:hAnsi="Arial" w:cs="Arial"/>
          <w:sz w:val="21"/>
          <w:szCs w:val="21"/>
        </w:rPr>
        <w:t xml:space="preserve">eveloping </w:t>
      </w:r>
      <w:r w:rsidRPr="00A8515F">
        <w:rPr>
          <w:rFonts w:ascii="Arial" w:eastAsia="Times New Roman" w:hAnsi="Arial" w:cs="Arial"/>
          <w:sz w:val="21"/>
          <w:szCs w:val="21"/>
        </w:rPr>
        <w:t xml:space="preserve">it </w:t>
      </w:r>
      <w:r w:rsidR="00516DF7" w:rsidRPr="00A8515F">
        <w:rPr>
          <w:rFonts w:ascii="Arial" w:eastAsia="Times New Roman" w:hAnsi="Arial" w:cs="Arial"/>
          <w:sz w:val="21"/>
          <w:szCs w:val="21"/>
        </w:rPr>
        <w:t xml:space="preserve">and accelerating its digitisation is a matter of urgency. </w:t>
      </w:r>
      <w:r w:rsidR="00C1161B" w:rsidRPr="00A8515F">
        <w:rPr>
          <w:rFonts w:ascii="Arial" w:eastAsia="Times New Roman" w:hAnsi="Arial" w:cs="Arial"/>
          <w:sz w:val="21"/>
          <w:szCs w:val="21"/>
        </w:rPr>
        <w:t xml:space="preserve">We count on the Czech Presidency to inject much stronger ambition in addressing </w:t>
      </w:r>
      <w:r w:rsidR="00964B7E" w:rsidRPr="00A8515F">
        <w:rPr>
          <w:rFonts w:ascii="Arial" w:eastAsia="Times New Roman" w:hAnsi="Arial" w:cs="Arial"/>
          <w:sz w:val="21"/>
          <w:szCs w:val="21"/>
        </w:rPr>
        <w:t xml:space="preserve">Singe Market barriers </w:t>
      </w:r>
      <w:r w:rsidR="009262DD" w:rsidRPr="00A8515F">
        <w:rPr>
          <w:rFonts w:ascii="Arial" w:eastAsia="Times New Roman" w:hAnsi="Arial" w:cs="Arial"/>
          <w:sz w:val="21"/>
          <w:szCs w:val="21"/>
        </w:rPr>
        <w:t xml:space="preserve">by bringing the free movement of goods, services, capital, persons, and data back to the top </w:t>
      </w:r>
      <w:r w:rsidR="000F4D41">
        <w:rPr>
          <w:rFonts w:ascii="Arial" w:eastAsia="Times New Roman" w:hAnsi="Arial" w:cs="Arial"/>
          <w:sz w:val="21"/>
          <w:szCs w:val="21"/>
        </w:rPr>
        <w:t xml:space="preserve">of </w:t>
      </w:r>
      <w:r w:rsidR="009262DD" w:rsidRPr="00A8515F">
        <w:rPr>
          <w:rFonts w:ascii="Arial" w:eastAsia="Times New Roman" w:hAnsi="Arial" w:cs="Arial"/>
          <w:sz w:val="21"/>
          <w:szCs w:val="21"/>
        </w:rPr>
        <w:t>political priorities</w:t>
      </w:r>
      <w:r w:rsidR="0014794D" w:rsidRPr="00A8515F">
        <w:rPr>
          <w:rFonts w:ascii="Arial" w:eastAsia="Times New Roman" w:hAnsi="Arial" w:cs="Arial"/>
          <w:sz w:val="21"/>
          <w:szCs w:val="21"/>
        </w:rPr>
        <w:t>.</w:t>
      </w:r>
      <w:r w:rsidR="00FC1AF5" w:rsidRPr="00A8515F">
        <w:rPr>
          <w:rFonts w:ascii="Arial" w:eastAsia="Times New Roman" w:hAnsi="Arial" w:cs="Arial"/>
          <w:sz w:val="21"/>
          <w:szCs w:val="21"/>
        </w:rPr>
        <w:t xml:space="preserve"> </w:t>
      </w:r>
      <w:r w:rsidR="00462F03" w:rsidRPr="00A8515F">
        <w:rPr>
          <w:rFonts w:ascii="Arial" w:eastAsia="Times New Roman" w:hAnsi="Arial" w:cs="Arial"/>
          <w:sz w:val="21"/>
          <w:szCs w:val="21"/>
        </w:rPr>
        <w:t>A</w:t>
      </w:r>
      <w:r w:rsidR="0082789A" w:rsidRPr="00A8515F">
        <w:rPr>
          <w:rFonts w:ascii="Arial" w:eastAsia="Times New Roman" w:hAnsi="Arial" w:cs="Arial"/>
          <w:sz w:val="21"/>
          <w:szCs w:val="21"/>
        </w:rPr>
        <w:t xml:space="preserve">ny negotiated proposal supporting the green and digital transition, be it the rules on general product safety, artificial intelligence, data sharing or </w:t>
      </w:r>
      <w:r w:rsidR="00901809" w:rsidRPr="00A8515F">
        <w:rPr>
          <w:rFonts w:ascii="Arial" w:eastAsia="Times New Roman" w:hAnsi="Arial" w:cs="Arial"/>
          <w:sz w:val="21"/>
          <w:szCs w:val="21"/>
        </w:rPr>
        <w:t xml:space="preserve">on </w:t>
      </w:r>
      <w:r w:rsidR="0082789A" w:rsidRPr="00A8515F">
        <w:rPr>
          <w:rFonts w:ascii="Arial" w:eastAsia="Times New Roman" w:hAnsi="Arial" w:cs="Arial"/>
          <w:sz w:val="21"/>
          <w:szCs w:val="21"/>
        </w:rPr>
        <w:t>sustainable products, should safeguard the provisions which guarantee these freedoms.</w:t>
      </w:r>
      <w:r w:rsidR="008E4A71" w:rsidRPr="00A8515F">
        <w:rPr>
          <w:rFonts w:ascii="Arial" w:eastAsia="Times New Roman" w:hAnsi="Arial" w:cs="Arial"/>
          <w:sz w:val="21"/>
          <w:szCs w:val="21"/>
        </w:rPr>
        <w:t xml:space="preserve"> </w:t>
      </w:r>
    </w:p>
    <w:bookmarkEnd w:id="2"/>
    <w:p w14:paraId="3B3FE0E8" w14:textId="77777777" w:rsidR="00013AFE" w:rsidRPr="00A8515F" w:rsidRDefault="00013AFE" w:rsidP="00BC5D87">
      <w:pPr>
        <w:ind w:left="-426" w:right="-285"/>
        <w:jc w:val="both"/>
        <w:rPr>
          <w:rFonts w:ascii="Arial" w:eastAsia="Times New Roman" w:hAnsi="Arial" w:cs="Arial"/>
          <w:b/>
          <w:bCs/>
          <w:sz w:val="21"/>
          <w:szCs w:val="21"/>
        </w:rPr>
      </w:pPr>
    </w:p>
    <w:p w14:paraId="1CA3F56E" w14:textId="55A53155" w:rsidR="00013AFE" w:rsidRPr="00A8515F" w:rsidRDefault="00996585" w:rsidP="00BC5D87">
      <w:pPr>
        <w:ind w:left="-426" w:right="-285"/>
        <w:jc w:val="both"/>
        <w:rPr>
          <w:rFonts w:ascii="Arial" w:eastAsia="Times New Roman" w:hAnsi="Arial" w:cs="Arial"/>
          <w:sz w:val="21"/>
          <w:szCs w:val="21"/>
        </w:rPr>
      </w:pPr>
      <w:r w:rsidRPr="00A8515F">
        <w:rPr>
          <w:rFonts w:ascii="Arial" w:eastAsia="Times New Roman" w:hAnsi="Arial" w:cs="Arial"/>
          <w:sz w:val="21"/>
          <w:szCs w:val="21"/>
        </w:rPr>
        <w:t xml:space="preserve">There is no </w:t>
      </w:r>
      <w:r w:rsidR="00D01C3E">
        <w:rPr>
          <w:rFonts w:ascii="Arial" w:eastAsia="Times New Roman" w:hAnsi="Arial" w:cs="Arial"/>
          <w:sz w:val="21"/>
          <w:szCs w:val="21"/>
        </w:rPr>
        <w:t>time</w:t>
      </w:r>
      <w:r w:rsidR="00F42CBE" w:rsidRPr="00A8515F">
        <w:rPr>
          <w:rFonts w:ascii="Arial" w:eastAsia="Times New Roman" w:hAnsi="Arial" w:cs="Arial"/>
          <w:sz w:val="21"/>
          <w:szCs w:val="21"/>
        </w:rPr>
        <w:t xml:space="preserve"> and </w:t>
      </w:r>
      <w:r w:rsidR="00D01C3E">
        <w:rPr>
          <w:rFonts w:ascii="Arial" w:eastAsia="Times New Roman" w:hAnsi="Arial" w:cs="Arial"/>
          <w:sz w:val="21"/>
          <w:szCs w:val="21"/>
        </w:rPr>
        <w:t>space</w:t>
      </w:r>
      <w:r w:rsidR="00F42CBE" w:rsidRPr="00A8515F">
        <w:rPr>
          <w:rFonts w:ascii="Arial" w:eastAsia="Times New Roman" w:hAnsi="Arial" w:cs="Arial"/>
          <w:sz w:val="21"/>
          <w:szCs w:val="21"/>
        </w:rPr>
        <w:t xml:space="preserve"> for </w:t>
      </w:r>
      <w:r w:rsidR="00A7386A" w:rsidRPr="00A8515F">
        <w:rPr>
          <w:rFonts w:ascii="Arial" w:eastAsia="Times New Roman" w:hAnsi="Arial" w:cs="Arial"/>
          <w:sz w:val="21"/>
          <w:szCs w:val="21"/>
        </w:rPr>
        <w:t xml:space="preserve">legal uncertainty, </w:t>
      </w:r>
      <w:r w:rsidR="00F42CBE" w:rsidRPr="00A8515F">
        <w:rPr>
          <w:rFonts w:ascii="Arial" w:eastAsia="Times New Roman" w:hAnsi="Arial" w:cs="Arial"/>
          <w:sz w:val="21"/>
          <w:szCs w:val="21"/>
        </w:rPr>
        <w:t>standard approaches</w:t>
      </w:r>
      <w:r w:rsidR="005A22F1" w:rsidRPr="00A8515F">
        <w:rPr>
          <w:rFonts w:ascii="Arial" w:eastAsia="Times New Roman" w:hAnsi="Arial" w:cs="Arial"/>
          <w:sz w:val="21"/>
          <w:szCs w:val="21"/>
        </w:rPr>
        <w:t xml:space="preserve"> and</w:t>
      </w:r>
      <w:r w:rsidRPr="00A8515F">
        <w:rPr>
          <w:rFonts w:ascii="Arial" w:eastAsia="Times New Roman" w:hAnsi="Arial" w:cs="Arial"/>
          <w:sz w:val="21"/>
          <w:szCs w:val="21"/>
        </w:rPr>
        <w:t xml:space="preserve"> business-as-usual </w:t>
      </w:r>
      <w:proofErr w:type="gramStart"/>
      <w:r w:rsidR="00A7386A" w:rsidRPr="00A8515F">
        <w:rPr>
          <w:rFonts w:ascii="Arial" w:eastAsia="Times New Roman" w:hAnsi="Arial" w:cs="Arial"/>
          <w:sz w:val="21"/>
          <w:szCs w:val="21"/>
        </w:rPr>
        <w:t>policy-making</w:t>
      </w:r>
      <w:proofErr w:type="gramEnd"/>
      <w:r w:rsidRPr="00A8515F">
        <w:rPr>
          <w:rFonts w:ascii="Arial" w:eastAsia="Times New Roman" w:hAnsi="Arial" w:cs="Arial"/>
          <w:sz w:val="21"/>
          <w:szCs w:val="21"/>
        </w:rPr>
        <w:t xml:space="preserve">. </w:t>
      </w:r>
      <w:r w:rsidR="00516DF7" w:rsidRPr="00A8515F">
        <w:rPr>
          <w:rFonts w:ascii="Arial" w:eastAsia="Times New Roman" w:hAnsi="Arial" w:cs="Arial"/>
          <w:sz w:val="21"/>
          <w:szCs w:val="21"/>
        </w:rPr>
        <w:t>All mid and long-term EU policy measures will need to factor in the new reality</w:t>
      </w:r>
      <w:r w:rsidR="006341E6" w:rsidRPr="00A8515F">
        <w:rPr>
          <w:rFonts w:ascii="Arial" w:eastAsia="Times New Roman" w:hAnsi="Arial" w:cs="Arial"/>
          <w:sz w:val="21"/>
          <w:szCs w:val="21"/>
        </w:rPr>
        <w:t xml:space="preserve"> and the principles of better regulation must be strictly adhered to</w:t>
      </w:r>
      <w:r w:rsidR="00516DF7" w:rsidRPr="00A8515F">
        <w:rPr>
          <w:rFonts w:ascii="Arial" w:eastAsia="Times New Roman" w:hAnsi="Arial" w:cs="Arial"/>
          <w:sz w:val="21"/>
          <w:szCs w:val="21"/>
        </w:rPr>
        <w:t xml:space="preserve">. If the European legislators </w:t>
      </w:r>
      <w:r w:rsidR="00462F03" w:rsidRPr="00A8515F">
        <w:rPr>
          <w:rFonts w:ascii="Arial" w:eastAsia="Times New Roman" w:hAnsi="Arial" w:cs="Arial"/>
          <w:sz w:val="21"/>
          <w:szCs w:val="21"/>
        </w:rPr>
        <w:t>hinder innovation and</w:t>
      </w:r>
      <w:r w:rsidR="006341E6" w:rsidRPr="00A8515F">
        <w:rPr>
          <w:rFonts w:ascii="Arial" w:eastAsia="Times New Roman" w:hAnsi="Arial" w:cs="Arial"/>
          <w:sz w:val="21"/>
          <w:szCs w:val="21"/>
        </w:rPr>
        <w:t xml:space="preserve"> deployment of new technologies, if they</w:t>
      </w:r>
      <w:r w:rsidR="00462F03" w:rsidRPr="00A8515F">
        <w:rPr>
          <w:rFonts w:ascii="Arial" w:eastAsia="Times New Roman" w:hAnsi="Arial" w:cs="Arial"/>
          <w:sz w:val="21"/>
          <w:szCs w:val="21"/>
        </w:rPr>
        <w:t xml:space="preserve"> </w:t>
      </w:r>
      <w:r w:rsidR="00516DF7" w:rsidRPr="00A8515F">
        <w:rPr>
          <w:rFonts w:ascii="Arial" w:eastAsia="Times New Roman" w:hAnsi="Arial" w:cs="Arial"/>
          <w:sz w:val="21"/>
          <w:szCs w:val="21"/>
        </w:rPr>
        <w:t xml:space="preserve">over-burden European companies in their home-market, if they fail to simplify and fast-track procedures to authorise investment projects in the EU, they </w:t>
      </w:r>
      <w:r w:rsidR="00D70C92" w:rsidRPr="00A8515F">
        <w:rPr>
          <w:rFonts w:ascii="Arial" w:eastAsia="Times New Roman" w:hAnsi="Arial" w:cs="Arial"/>
          <w:sz w:val="21"/>
          <w:szCs w:val="21"/>
        </w:rPr>
        <w:t xml:space="preserve">hinder the digital and green transitions and </w:t>
      </w:r>
      <w:r w:rsidR="00516DF7" w:rsidRPr="00A8515F">
        <w:rPr>
          <w:rFonts w:ascii="Arial" w:eastAsia="Times New Roman" w:hAnsi="Arial" w:cs="Arial"/>
          <w:sz w:val="21"/>
          <w:szCs w:val="21"/>
        </w:rPr>
        <w:t>undermine job creation</w:t>
      </w:r>
      <w:r w:rsidR="006341E6" w:rsidRPr="00A8515F">
        <w:rPr>
          <w:rFonts w:ascii="Arial" w:eastAsia="Times New Roman" w:hAnsi="Arial" w:cs="Arial"/>
          <w:sz w:val="21"/>
          <w:szCs w:val="21"/>
        </w:rPr>
        <w:t xml:space="preserve">, </w:t>
      </w:r>
      <w:r w:rsidR="00516DF7" w:rsidRPr="00A8515F">
        <w:rPr>
          <w:rFonts w:ascii="Arial" w:eastAsia="Times New Roman" w:hAnsi="Arial" w:cs="Arial"/>
          <w:sz w:val="21"/>
          <w:szCs w:val="21"/>
        </w:rPr>
        <w:t xml:space="preserve">as well as re-industrialisation efforts to increase our </w:t>
      </w:r>
      <w:r w:rsidR="00602EA8" w:rsidRPr="00A8515F">
        <w:rPr>
          <w:rFonts w:ascii="Arial" w:eastAsia="Times New Roman" w:hAnsi="Arial" w:cs="Arial"/>
          <w:sz w:val="21"/>
          <w:szCs w:val="21"/>
        </w:rPr>
        <w:t xml:space="preserve">open </w:t>
      </w:r>
      <w:r w:rsidR="00516DF7" w:rsidRPr="00A8515F">
        <w:rPr>
          <w:rFonts w:ascii="Arial" w:eastAsia="Times New Roman" w:hAnsi="Arial" w:cs="Arial"/>
          <w:sz w:val="21"/>
          <w:szCs w:val="21"/>
        </w:rPr>
        <w:t xml:space="preserve">strategic autonomy. </w:t>
      </w:r>
    </w:p>
    <w:p w14:paraId="590B4BEF" w14:textId="77777777" w:rsidR="00013AFE" w:rsidRPr="00A8515F" w:rsidRDefault="00013AFE" w:rsidP="00BC5D87">
      <w:pPr>
        <w:ind w:left="-426" w:right="-285"/>
        <w:jc w:val="both"/>
        <w:rPr>
          <w:rFonts w:ascii="Arial" w:eastAsia="Times New Roman" w:hAnsi="Arial" w:cs="Arial"/>
          <w:sz w:val="21"/>
          <w:szCs w:val="21"/>
        </w:rPr>
      </w:pPr>
    </w:p>
    <w:p w14:paraId="7120FFD7" w14:textId="064F6310" w:rsidR="005A70B2" w:rsidRPr="000C68C1" w:rsidRDefault="00516DF7" w:rsidP="00BC5D87">
      <w:pPr>
        <w:ind w:left="-426" w:right="-285"/>
        <w:jc w:val="both"/>
        <w:rPr>
          <w:rFonts w:ascii="Arial" w:eastAsia="Times New Roman" w:hAnsi="Arial" w:cs="Arial"/>
          <w:sz w:val="21"/>
          <w:szCs w:val="21"/>
        </w:rPr>
      </w:pPr>
      <w:r w:rsidRPr="000C68C1">
        <w:rPr>
          <w:rFonts w:ascii="Arial" w:eastAsia="Times New Roman" w:hAnsi="Arial" w:cs="Arial"/>
          <w:sz w:val="21"/>
          <w:szCs w:val="21"/>
        </w:rPr>
        <w:t xml:space="preserve">We count on the Czech Presidency to </w:t>
      </w:r>
      <w:r w:rsidR="00D70C92" w:rsidRPr="000C68C1">
        <w:rPr>
          <w:rFonts w:ascii="Arial" w:eastAsia="Times New Roman" w:hAnsi="Arial" w:cs="Arial"/>
          <w:sz w:val="21"/>
          <w:szCs w:val="21"/>
        </w:rPr>
        <w:t xml:space="preserve">play a key oversight role and </w:t>
      </w:r>
      <w:r w:rsidRPr="000C68C1">
        <w:rPr>
          <w:rFonts w:ascii="Arial" w:eastAsia="Times New Roman" w:hAnsi="Arial" w:cs="Arial"/>
          <w:sz w:val="21"/>
          <w:szCs w:val="21"/>
        </w:rPr>
        <w:t xml:space="preserve">steer the different legislative proposals it will deal with towards workable requirements for companies, </w:t>
      </w:r>
      <w:r w:rsidR="00C1161B" w:rsidRPr="000C68C1">
        <w:rPr>
          <w:rFonts w:ascii="Arial" w:eastAsia="Times New Roman" w:hAnsi="Arial" w:cs="Arial"/>
          <w:sz w:val="21"/>
          <w:szCs w:val="21"/>
        </w:rPr>
        <w:t xml:space="preserve">from </w:t>
      </w:r>
      <w:r w:rsidRPr="000C68C1">
        <w:rPr>
          <w:rFonts w:ascii="Arial" w:eastAsia="Times New Roman" w:hAnsi="Arial" w:cs="Arial"/>
          <w:sz w:val="21"/>
          <w:szCs w:val="21"/>
        </w:rPr>
        <w:t>corporate governance</w:t>
      </w:r>
      <w:r w:rsidR="00C1161B" w:rsidRPr="000C68C1">
        <w:rPr>
          <w:rFonts w:ascii="Arial" w:eastAsia="Times New Roman" w:hAnsi="Arial" w:cs="Arial"/>
          <w:sz w:val="21"/>
          <w:szCs w:val="21"/>
        </w:rPr>
        <w:t xml:space="preserve"> and </w:t>
      </w:r>
      <w:r w:rsidRPr="000C68C1">
        <w:rPr>
          <w:rFonts w:ascii="Arial" w:eastAsia="Times New Roman" w:hAnsi="Arial" w:cs="Arial"/>
          <w:sz w:val="21"/>
          <w:szCs w:val="21"/>
        </w:rPr>
        <w:t>due diligence</w:t>
      </w:r>
      <w:r w:rsidR="00F2134B" w:rsidRPr="000C68C1">
        <w:rPr>
          <w:rFonts w:ascii="Arial" w:eastAsia="Times New Roman" w:hAnsi="Arial" w:cs="Arial"/>
          <w:sz w:val="21"/>
          <w:szCs w:val="21"/>
        </w:rPr>
        <w:t xml:space="preserve"> rules</w:t>
      </w:r>
      <w:r w:rsidR="00C07F7A" w:rsidRPr="000C68C1">
        <w:rPr>
          <w:rFonts w:ascii="Arial" w:eastAsia="Times New Roman" w:hAnsi="Arial" w:cs="Arial"/>
          <w:sz w:val="21"/>
          <w:szCs w:val="21"/>
        </w:rPr>
        <w:t xml:space="preserve"> to</w:t>
      </w:r>
      <w:r w:rsidRPr="000C68C1">
        <w:rPr>
          <w:rFonts w:ascii="Arial" w:eastAsia="Times New Roman" w:hAnsi="Arial" w:cs="Arial"/>
          <w:sz w:val="21"/>
          <w:szCs w:val="21"/>
        </w:rPr>
        <w:t xml:space="preserve"> Fit-for-55 proposals </w:t>
      </w:r>
      <w:r w:rsidR="00C07F7A" w:rsidRPr="000C68C1">
        <w:rPr>
          <w:rFonts w:ascii="Arial" w:eastAsia="Times New Roman" w:hAnsi="Arial" w:cs="Arial"/>
          <w:sz w:val="21"/>
          <w:szCs w:val="21"/>
        </w:rPr>
        <w:t>and</w:t>
      </w:r>
      <w:r w:rsidR="0082789A" w:rsidRPr="000C68C1">
        <w:rPr>
          <w:rFonts w:ascii="Arial" w:eastAsia="Times New Roman" w:hAnsi="Arial" w:cs="Arial"/>
          <w:sz w:val="21"/>
          <w:szCs w:val="21"/>
        </w:rPr>
        <w:t xml:space="preserve"> </w:t>
      </w:r>
      <w:r w:rsidRPr="000C68C1">
        <w:rPr>
          <w:rFonts w:ascii="Arial" w:eastAsia="Times New Roman" w:hAnsi="Arial" w:cs="Arial"/>
          <w:sz w:val="21"/>
          <w:szCs w:val="21"/>
        </w:rPr>
        <w:t xml:space="preserve">social policy </w:t>
      </w:r>
      <w:r w:rsidR="00C1161B" w:rsidRPr="000C68C1">
        <w:rPr>
          <w:rFonts w:ascii="Arial" w:eastAsia="Times New Roman" w:hAnsi="Arial" w:cs="Arial"/>
          <w:sz w:val="21"/>
          <w:szCs w:val="21"/>
        </w:rPr>
        <w:t>legislation</w:t>
      </w:r>
      <w:r w:rsidR="0082789A" w:rsidRPr="000C68C1">
        <w:rPr>
          <w:rFonts w:ascii="Arial" w:eastAsia="Times New Roman" w:hAnsi="Arial" w:cs="Arial"/>
          <w:sz w:val="21"/>
          <w:szCs w:val="21"/>
        </w:rPr>
        <w:t xml:space="preserve">, for example on </w:t>
      </w:r>
      <w:r w:rsidRPr="000C68C1">
        <w:rPr>
          <w:rFonts w:ascii="Arial" w:eastAsia="Times New Roman" w:hAnsi="Arial" w:cs="Arial"/>
          <w:sz w:val="21"/>
          <w:szCs w:val="21"/>
        </w:rPr>
        <w:t xml:space="preserve">pay transparency. We fully support the objectives </w:t>
      </w:r>
      <w:r w:rsidR="009F25AC" w:rsidRPr="000C68C1">
        <w:rPr>
          <w:rFonts w:ascii="Arial" w:eastAsia="Times New Roman" w:hAnsi="Arial" w:cs="Arial"/>
          <w:sz w:val="21"/>
          <w:szCs w:val="21"/>
        </w:rPr>
        <w:t xml:space="preserve">pursued </w:t>
      </w:r>
      <w:r w:rsidRPr="000C68C1">
        <w:rPr>
          <w:rFonts w:ascii="Arial" w:eastAsia="Times New Roman" w:hAnsi="Arial" w:cs="Arial"/>
          <w:sz w:val="21"/>
          <w:szCs w:val="21"/>
        </w:rPr>
        <w:t xml:space="preserve">by those initiatives but have </w:t>
      </w:r>
      <w:r w:rsidR="009930CB" w:rsidRPr="000C68C1">
        <w:rPr>
          <w:rFonts w:ascii="Arial" w:eastAsia="Times New Roman" w:hAnsi="Arial" w:cs="Arial"/>
          <w:sz w:val="21"/>
          <w:szCs w:val="21"/>
        </w:rPr>
        <w:t xml:space="preserve">serious </w:t>
      </w:r>
      <w:r w:rsidRPr="000C68C1">
        <w:rPr>
          <w:rFonts w:ascii="Arial" w:eastAsia="Times New Roman" w:hAnsi="Arial" w:cs="Arial"/>
          <w:sz w:val="21"/>
          <w:szCs w:val="21"/>
        </w:rPr>
        <w:t xml:space="preserve">concerns regarding some provisions which </w:t>
      </w:r>
      <w:r w:rsidR="00602EA8" w:rsidRPr="000C68C1">
        <w:rPr>
          <w:rFonts w:ascii="Arial" w:eastAsia="Times New Roman" w:hAnsi="Arial" w:cs="Arial"/>
          <w:sz w:val="21"/>
          <w:szCs w:val="21"/>
        </w:rPr>
        <w:t xml:space="preserve">do not take into account the current </w:t>
      </w:r>
      <w:r w:rsidR="00295631" w:rsidRPr="000C68C1">
        <w:rPr>
          <w:rFonts w:ascii="Arial" w:eastAsia="Times New Roman" w:hAnsi="Arial" w:cs="Arial"/>
          <w:sz w:val="21"/>
          <w:szCs w:val="21"/>
        </w:rPr>
        <w:t xml:space="preserve">crisis </w:t>
      </w:r>
      <w:r w:rsidR="00602EA8" w:rsidRPr="000C68C1">
        <w:rPr>
          <w:rFonts w:ascii="Arial" w:eastAsia="Times New Roman" w:hAnsi="Arial" w:cs="Arial"/>
          <w:sz w:val="21"/>
          <w:szCs w:val="21"/>
        </w:rPr>
        <w:t xml:space="preserve">situation and </w:t>
      </w:r>
      <w:r w:rsidR="00295631" w:rsidRPr="000C68C1">
        <w:rPr>
          <w:rFonts w:ascii="Arial" w:eastAsia="Times New Roman" w:hAnsi="Arial" w:cs="Arial"/>
          <w:sz w:val="21"/>
          <w:szCs w:val="21"/>
        </w:rPr>
        <w:t>would impose overburdensome requirements on companies</w:t>
      </w:r>
      <w:bookmarkEnd w:id="0"/>
      <w:r w:rsidR="00A7386A" w:rsidRPr="000C68C1">
        <w:rPr>
          <w:rFonts w:ascii="Arial" w:eastAsia="Times New Roman" w:hAnsi="Arial" w:cs="Arial"/>
          <w:sz w:val="21"/>
          <w:szCs w:val="21"/>
        </w:rPr>
        <w:t>.</w:t>
      </w:r>
    </w:p>
    <w:p w14:paraId="106FB7DA" w14:textId="77777777" w:rsidR="005A70B2" w:rsidRPr="000C68C1" w:rsidRDefault="005A70B2" w:rsidP="00BC5D87">
      <w:pPr>
        <w:ind w:left="-426" w:right="-285"/>
        <w:jc w:val="both"/>
        <w:rPr>
          <w:rFonts w:ascii="Arial" w:eastAsia="Times New Roman" w:hAnsi="Arial" w:cs="Arial"/>
          <w:sz w:val="21"/>
          <w:szCs w:val="21"/>
        </w:rPr>
      </w:pPr>
    </w:p>
    <w:p w14:paraId="1988AAA2" w14:textId="1C3074CD" w:rsidR="00013AFE" w:rsidRPr="00CF0EAD" w:rsidRDefault="00516DF7" w:rsidP="00BC5D87">
      <w:pPr>
        <w:ind w:left="-426" w:right="-285"/>
        <w:jc w:val="both"/>
        <w:rPr>
          <w:rFonts w:ascii="Arial" w:hAnsi="Arial" w:cs="Arial"/>
          <w:strike/>
          <w:sz w:val="21"/>
          <w:szCs w:val="21"/>
        </w:rPr>
      </w:pPr>
      <w:r w:rsidRPr="000C68C1">
        <w:rPr>
          <w:rFonts w:ascii="Arial" w:eastAsia="Times New Roman" w:hAnsi="Arial" w:cs="Arial"/>
          <w:sz w:val="21"/>
          <w:szCs w:val="21"/>
        </w:rPr>
        <w:t xml:space="preserve">In an increasingly uncertain and unstable world, in addition to dealing with the immediate challenges to peace and </w:t>
      </w:r>
      <w:r w:rsidR="00B6510C" w:rsidRPr="000C68C1">
        <w:rPr>
          <w:rFonts w:ascii="Arial" w:eastAsia="Times New Roman" w:hAnsi="Arial" w:cs="Arial"/>
          <w:sz w:val="21"/>
          <w:szCs w:val="21"/>
        </w:rPr>
        <w:t>prosperity</w:t>
      </w:r>
      <w:r w:rsidRPr="000C68C1">
        <w:rPr>
          <w:rFonts w:ascii="Arial" w:eastAsia="Times New Roman" w:hAnsi="Arial" w:cs="Arial"/>
          <w:sz w:val="21"/>
          <w:szCs w:val="21"/>
        </w:rPr>
        <w:t xml:space="preserve">, the European Union must check that all its policy measures help </w:t>
      </w:r>
      <w:r w:rsidR="00BC5D87" w:rsidRPr="000C68C1">
        <w:rPr>
          <w:rFonts w:ascii="Arial" w:eastAsia="Times New Roman" w:hAnsi="Arial" w:cs="Arial"/>
          <w:sz w:val="21"/>
          <w:szCs w:val="21"/>
        </w:rPr>
        <w:t xml:space="preserve">to </w:t>
      </w:r>
      <w:r w:rsidRPr="000C68C1">
        <w:rPr>
          <w:rFonts w:ascii="Arial" w:eastAsia="Times New Roman" w:hAnsi="Arial" w:cs="Arial"/>
          <w:sz w:val="21"/>
          <w:szCs w:val="21"/>
        </w:rPr>
        <w:t>bring stability and foster prosperity.</w:t>
      </w:r>
      <w:r w:rsidR="004A3DB2" w:rsidRPr="000C68C1">
        <w:rPr>
          <w:rFonts w:ascii="Arial" w:eastAsia="Times New Roman" w:hAnsi="Arial" w:cs="Arial"/>
          <w:sz w:val="21"/>
          <w:szCs w:val="21"/>
        </w:rPr>
        <w:t xml:space="preserve"> The Versailles declaration rightly underlines the importance of competitiveness to have a more robust economy, building on the strength of the European Single Market.</w:t>
      </w:r>
    </w:p>
    <w:sectPr w:rsidR="00013AFE" w:rsidRPr="00CF0EAD">
      <w:headerReference w:type="default" r:id="rId11"/>
      <w:footerReference w:type="default" r:id="rId12"/>
      <w:headerReference w:type="first" r:id="rId13"/>
      <w:footerReference w:type="first" r:id="rId14"/>
      <w:type w:val="continuous"/>
      <w:pgSz w:w="11906" w:h="16838"/>
      <w:pgMar w:top="2835" w:right="1701" w:bottom="1418" w:left="1701" w:header="907"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38AC" w14:textId="77777777" w:rsidR="002A525A" w:rsidRDefault="002A525A">
      <w:r>
        <w:separator/>
      </w:r>
    </w:p>
  </w:endnote>
  <w:endnote w:type="continuationSeparator" w:id="0">
    <w:p w14:paraId="22E45FEC" w14:textId="77777777" w:rsidR="002A525A" w:rsidRDefault="002A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20B0500000000000000"/>
    <w:charset w:val="00"/>
    <w:family w:val="swiss"/>
    <w:pitch w:val="variable"/>
    <w:sig w:usb0="80000027" w:usb1="00000000" w:usb2="00000000" w:usb3="00000000" w:csb0="00000001" w:csb1="00000000"/>
  </w:font>
  <w:font w:name="DIN-Bold">
    <w:altName w:val="Calibri"/>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B392" w14:textId="74678843" w:rsidR="00013AFE" w:rsidRDefault="00516DF7">
    <w:pPr>
      <w:pStyle w:val="Footer"/>
      <w:tabs>
        <w:tab w:val="clear" w:pos="4536"/>
      </w:tabs>
      <w:ind w:left="-851" w:right="-852"/>
      <w:jc w:val="both"/>
      <w:rPr>
        <w:rFonts w:ascii="Arial" w:hAnsi="Arial" w:cs="Arial"/>
        <w:sz w:val="20"/>
      </w:rPr>
    </w:pPr>
    <w:r>
      <w:rPr>
        <w:rStyle w:val="PageNumber"/>
        <w:rFonts w:ascii="Arial" w:hAnsi="Arial" w:cs="Arial"/>
        <w:sz w:val="20"/>
      </w:rPr>
      <w:t>Declaration of the Council of Presidents in Prague</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74D98">
      <w:rPr>
        <w:rStyle w:val="PageNumber"/>
        <w:rFonts w:ascii="Arial" w:hAnsi="Arial" w:cs="Arial"/>
        <w:noProof/>
        <w:sz w:val="20"/>
      </w:rPr>
      <w:t>3</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64A8" w14:textId="77777777" w:rsidR="00013AFE" w:rsidRDefault="00516DF7">
    <w:pPr>
      <w:pBdr>
        <w:top w:val="single" w:sz="4" w:space="1" w:color="auto"/>
      </w:pBdr>
      <w:tabs>
        <w:tab w:val="left" w:pos="787"/>
      </w:tabs>
      <w:spacing w:line="60" w:lineRule="exact"/>
      <w:ind w:left="-851" w:right="-852"/>
      <w:rPr>
        <w:rFonts w:ascii="Arial" w:hAnsi="Arial" w:cs="Arial"/>
        <w:color w:val="000000"/>
        <w:sz w:val="12"/>
      </w:rPr>
    </w:pPr>
    <w:r>
      <w:rPr>
        <w:rFonts w:ascii="Arial" w:hAnsi="Arial" w:cs="Arial"/>
        <w:color w:val="000000"/>
        <w:sz w:val="12"/>
      </w:rPr>
      <w:tab/>
    </w:r>
  </w:p>
  <w:p w14:paraId="550A624A" w14:textId="77777777" w:rsidR="00013AFE" w:rsidRDefault="00516DF7">
    <w:pPr>
      <w:tabs>
        <w:tab w:val="center" w:pos="4253"/>
        <w:tab w:val="right" w:pos="9356"/>
      </w:tabs>
      <w:spacing w:before="120" w:line="160" w:lineRule="exact"/>
      <w:ind w:left="-851" w:right="-709"/>
      <w:rPr>
        <w:rFonts w:ascii="Arial" w:hAnsi="Arial" w:cs="Arial"/>
        <w:b/>
        <w:color w:val="000000"/>
        <w:sz w:val="12"/>
        <w:lang w:val="fr-BE"/>
      </w:rPr>
    </w:pPr>
    <w:bookmarkStart w:id="3" w:name="OLE_LINK1"/>
    <w:bookmarkStart w:id="4" w:name="_Hlk157310613"/>
    <w:bookmarkStart w:id="5" w:name="OLE_LINK2"/>
    <w:r>
      <w:rPr>
        <w:rFonts w:ascii="Arial" w:hAnsi="Arial" w:cs="Arial"/>
        <w:color w:val="000000"/>
        <w:sz w:val="10"/>
        <w:szCs w:val="10"/>
        <w:lang w:val="fr-FR"/>
      </w:rPr>
      <w:t xml:space="preserve">AV. DE CORTENBERGH </w:t>
    </w:r>
    <w:proofErr w:type="gramStart"/>
    <w:r>
      <w:rPr>
        <w:rFonts w:ascii="Arial" w:hAnsi="Arial" w:cs="Arial"/>
        <w:color w:val="000000"/>
        <w:sz w:val="10"/>
        <w:szCs w:val="10"/>
        <w:lang w:val="fr-FR"/>
      </w:rPr>
      <w:t>168</w:t>
    </w:r>
    <w:r>
      <w:rPr>
        <w:rFonts w:ascii="Arial" w:hAnsi="Arial" w:cs="Arial"/>
        <w:sz w:val="10"/>
        <w:szCs w:val="10"/>
        <w:lang w:val="fr-FR"/>
      </w:rPr>
      <w:t xml:space="preserve">  </w:t>
    </w:r>
    <w:r>
      <w:rPr>
        <w:rFonts w:ascii="Arial" w:hAnsi="Arial" w:cs="Arial"/>
        <w:sz w:val="10"/>
        <w:szCs w:val="10"/>
        <w:lang w:val="fr-FR"/>
      </w:rPr>
      <w:tab/>
    </w:r>
    <w:proofErr w:type="gramEnd"/>
    <w:r>
      <w:rPr>
        <w:rFonts w:ascii="Arial" w:hAnsi="Arial" w:cs="Arial"/>
        <w:b/>
        <w:color w:val="000000"/>
        <w:sz w:val="18"/>
        <w:szCs w:val="18"/>
        <w:lang w:val="fr-BE"/>
      </w:rPr>
      <w:t xml:space="preserve">BUSINESSEUROPE </w:t>
    </w:r>
    <w:r>
      <w:rPr>
        <w:rFonts w:ascii="Arial" w:hAnsi="Arial" w:cs="Arial"/>
        <w:color w:val="000000"/>
        <w:sz w:val="18"/>
        <w:szCs w:val="18"/>
        <w:lang w:val="fr-BE"/>
      </w:rPr>
      <w:t>a.i.s.b.l.</w:t>
    </w:r>
    <w:r>
      <w:rPr>
        <w:rFonts w:ascii="Arial" w:hAnsi="Arial" w:cs="Arial"/>
        <w:b/>
        <w:color w:val="000000"/>
        <w:sz w:val="12"/>
        <w:lang w:val="fr-BE"/>
      </w:rPr>
      <w:tab/>
    </w:r>
    <w:r>
      <w:rPr>
        <w:rFonts w:ascii="Arial" w:hAnsi="Arial" w:cs="Arial"/>
        <w:color w:val="000000"/>
        <w:sz w:val="10"/>
        <w:szCs w:val="10"/>
        <w:lang w:val="fr-FR"/>
      </w:rPr>
      <w:t>TEL +32(0)2 237 65 11</w:t>
    </w:r>
  </w:p>
  <w:p w14:paraId="0A6981E2" w14:textId="77777777" w:rsidR="00013AFE" w:rsidRDefault="00516DF7">
    <w:pPr>
      <w:tabs>
        <w:tab w:val="left" w:pos="6513"/>
        <w:tab w:val="right" w:pos="9356"/>
      </w:tabs>
      <w:spacing w:line="160" w:lineRule="exact"/>
      <w:ind w:left="-851" w:right="-710"/>
      <w:rPr>
        <w:rFonts w:ascii="Arial" w:hAnsi="Arial" w:cs="Arial"/>
        <w:color w:val="000000"/>
        <w:sz w:val="10"/>
        <w:szCs w:val="10"/>
      </w:rPr>
    </w:pPr>
    <w:r>
      <w:rPr>
        <w:rFonts w:ascii="Arial" w:hAnsi="Arial" w:cs="Arial"/>
        <w:color w:val="000000"/>
        <w:sz w:val="10"/>
        <w:szCs w:val="10"/>
      </w:rPr>
      <w:t>BE-1000 BRUSSELS</w:t>
    </w:r>
    <w:r>
      <w:rPr>
        <w:rFonts w:ascii="Arial" w:hAnsi="Arial" w:cs="Arial"/>
        <w:color w:val="000000"/>
        <w:sz w:val="10"/>
        <w:szCs w:val="10"/>
      </w:rPr>
      <w:tab/>
    </w:r>
    <w:r>
      <w:rPr>
        <w:rFonts w:ascii="Arial" w:hAnsi="Arial" w:cs="Arial"/>
        <w:color w:val="000000"/>
        <w:sz w:val="10"/>
        <w:szCs w:val="10"/>
      </w:rPr>
      <w:tab/>
      <w:t>FAX +32(0)2 231 14 45</w:t>
    </w:r>
  </w:p>
  <w:p w14:paraId="0CA87C25" w14:textId="77777777" w:rsidR="00013AFE" w:rsidRDefault="00516DF7">
    <w:pPr>
      <w:tabs>
        <w:tab w:val="center" w:pos="4253"/>
        <w:tab w:val="right" w:pos="9356"/>
      </w:tabs>
      <w:spacing w:line="160" w:lineRule="exact"/>
      <w:ind w:left="-851" w:right="-710"/>
      <w:rPr>
        <w:rFonts w:ascii="Arial" w:hAnsi="Arial" w:cs="Arial"/>
        <w:color w:val="000000"/>
        <w:sz w:val="10"/>
        <w:szCs w:val="10"/>
      </w:rPr>
    </w:pPr>
    <w:r>
      <w:rPr>
        <w:rFonts w:ascii="Arial" w:hAnsi="Arial" w:cs="Arial"/>
        <w:color w:val="000000"/>
        <w:sz w:val="10"/>
        <w:szCs w:val="10"/>
      </w:rPr>
      <w:t>BELGIUM</w:t>
    </w:r>
    <w:r>
      <w:rPr>
        <w:rFonts w:ascii="Arial" w:hAnsi="Arial" w:cs="Arial"/>
        <w:color w:val="000000"/>
        <w:sz w:val="10"/>
        <w:szCs w:val="10"/>
      </w:rPr>
      <w:tab/>
    </w:r>
    <w:hyperlink r:id="rId1" w:history="1">
      <w:r>
        <w:rPr>
          <w:rStyle w:val="Hyperlink"/>
          <w:rFonts w:ascii="Arial" w:hAnsi="Arial" w:cs="Arial"/>
          <w:color w:val="004785"/>
          <w:sz w:val="10"/>
          <w:szCs w:val="10"/>
          <w:u w:val="none"/>
        </w:rPr>
        <w:t>WWW.BUSINESSEUROPE.EU</w:t>
      </w:r>
    </w:hyperlink>
    <w:r>
      <w:rPr>
        <w:rFonts w:ascii="Arial" w:hAnsi="Arial" w:cs="Arial"/>
        <w:color w:val="000000"/>
        <w:sz w:val="10"/>
        <w:szCs w:val="10"/>
      </w:rPr>
      <w:tab/>
      <w:t xml:space="preserve">E-MAIL: </w:t>
    </w:r>
    <w:hyperlink r:id="rId2" w:history="1">
      <w:r>
        <w:rPr>
          <w:rStyle w:val="Hyperlink"/>
          <w:rFonts w:ascii="Arial" w:hAnsi="Arial" w:cs="Arial"/>
          <w:color w:val="004785"/>
          <w:sz w:val="10"/>
          <w:szCs w:val="10"/>
          <w:u w:val="none"/>
        </w:rPr>
        <w:t>main@businesseurope.eu</w:t>
      </w:r>
    </w:hyperlink>
  </w:p>
  <w:p w14:paraId="36AF3E08" w14:textId="77777777" w:rsidR="00013AFE" w:rsidRDefault="00516DF7">
    <w:pPr>
      <w:tabs>
        <w:tab w:val="center" w:pos="4253"/>
        <w:tab w:val="right" w:pos="9356"/>
      </w:tabs>
      <w:spacing w:line="160" w:lineRule="exact"/>
      <w:ind w:left="-851" w:right="-710"/>
      <w:rPr>
        <w:rFonts w:ascii="Arial" w:hAnsi="Arial" w:cs="Arial"/>
        <w:color w:val="000000"/>
        <w:sz w:val="10"/>
        <w:szCs w:val="10"/>
      </w:rPr>
    </w:pPr>
    <w:r>
      <w:rPr>
        <w:rFonts w:ascii="Arial" w:hAnsi="Arial" w:cs="Arial"/>
        <w:color w:val="000000"/>
        <w:sz w:val="10"/>
        <w:szCs w:val="10"/>
      </w:rPr>
      <w:t>VAT BE 863 418 279</w:t>
    </w:r>
    <w:bookmarkEnd w:id="3"/>
    <w:bookmarkEnd w:id="4"/>
    <w:bookmarkEnd w:id="5"/>
    <w:r>
      <w:rPr>
        <w:rFonts w:ascii="Arial" w:hAnsi="Arial" w:cs="Arial"/>
        <w:color w:val="000000"/>
        <w:sz w:val="10"/>
        <w:szCs w:val="10"/>
      </w:rPr>
      <w:tab/>
      <w:t xml:space="preserve">Follow us on </w:t>
    </w:r>
    <w:hyperlink r:id="rId3" w:history="1">
      <w:r>
        <w:rPr>
          <w:rStyle w:val="Hyperlink"/>
          <w:rFonts w:ascii="Arial" w:hAnsi="Arial" w:cs="Arial"/>
          <w:color w:val="004785"/>
          <w:sz w:val="10"/>
          <w:szCs w:val="10"/>
          <w:u w:val="none"/>
        </w:rPr>
        <w:t>Twitter @BUSINESSEUROPE</w:t>
      </w:r>
    </w:hyperlink>
    <w:r>
      <w:rPr>
        <w:rFonts w:ascii="Arial" w:hAnsi="Arial" w:cs="Arial"/>
        <w:color w:val="000000"/>
        <w:sz w:val="10"/>
        <w:szCs w:val="10"/>
      </w:rPr>
      <w:tab/>
      <w:t>EU Transparency register 3978240953-79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7A38" w14:textId="77777777" w:rsidR="002A525A" w:rsidRDefault="002A525A">
      <w:r>
        <w:separator/>
      </w:r>
    </w:p>
  </w:footnote>
  <w:footnote w:type="continuationSeparator" w:id="0">
    <w:p w14:paraId="7234EB48" w14:textId="77777777" w:rsidR="002A525A" w:rsidRDefault="002A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7309" w14:textId="77777777" w:rsidR="00013AFE" w:rsidRDefault="00516DF7">
    <w:pPr>
      <w:pStyle w:val="Header"/>
    </w:pPr>
    <w:r>
      <w:rPr>
        <w:noProof/>
        <w:lang w:val="cs-CZ" w:eastAsia="cs-CZ"/>
      </w:rPr>
      <w:drawing>
        <wp:anchor distT="0" distB="0" distL="114300" distR="114300" simplePos="0" relativeHeight="251660288" behindDoc="0" locked="0" layoutInCell="1" allowOverlap="1" wp14:anchorId="668C6763" wp14:editId="336731F5">
          <wp:simplePos x="0" y="0"/>
          <wp:positionH relativeFrom="column">
            <wp:posOffset>-89535</wp:posOffset>
          </wp:positionH>
          <wp:positionV relativeFrom="paragraph">
            <wp:posOffset>-3810</wp:posOffset>
          </wp:positionV>
          <wp:extent cx="1800225" cy="428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0225" cy="428625"/>
                  </a:xfrm>
                  <a:prstGeom prst="rect">
                    <a:avLst/>
                  </a:prstGeom>
                  <a:noFill/>
                </pic:spPr>
              </pic:pic>
            </a:graphicData>
          </a:graphic>
        </wp:anchor>
      </w:drawing>
    </w:r>
  </w:p>
  <w:p w14:paraId="035C0A13" w14:textId="77777777" w:rsidR="00013AFE" w:rsidRDefault="00013AF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B4E5" w14:textId="77777777" w:rsidR="00013AFE" w:rsidRDefault="00516DF7">
    <w:pPr>
      <w:pStyle w:val="Header"/>
      <w:tabs>
        <w:tab w:val="clear" w:pos="4536"/>
      </w:tabs>
      <w:jc w:val="both"/>
      <w:rPr>
        <w:rFonts w:ascii="Arial" w:hAnsi="Arial" w:cs="Arial"/>
      </w:rPr>
    </w:pPr>
    <w:r>
      <w:rPr>
        <w:noProof/>
        <w:lang w:val="cs-CZ" w:eastAsia="cs-CZ"/>
      </w:rPr>
      <w:drawing>
        <wp:anchor distT="0" distB="0" distL="114300" distR="114300" simplePos="0" relativeHeight="251659264" behindDoc="0" locked="0" layoutInCell="1" allowOverlap="1" wp14:anchorId="18F45A8C" wp14:editId="71427ED4">
          <wp:simplePos x="0" y="0"/>
          <wp:positionH relativeFrom="column">
            <wp:posOffset>-80010</wp:posOffset>
          </wp:positionH>
          <wp:positionV relativeFrom="paragraph">
            <wp:posOffset>-3810</wp:posOffset>
          </wp:positionV>
          <wp:extent cx="2266950" cy="542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66950" cy="542925"/>
                  </a:xfrm>
                  <a:prstGeom prst="rect">
                    <a:avLst/>
                  </a:prstGeom>
                  <a:noFill/>
                </pic:spPr>
              </pic:pic>
            </a:graphicData>
          </a:graphic>
        </wp:anchor>
      </w:drawing>
    </w:r>
  </w:p>
  <w:p w14:paraId="39D98FEE" w14:textId="77777777" w:rsidR="00013AFE" w:rsidRDefault="00013AFE">
    <w:pPr>
      <w:pStyle w:val="Header"/>
      <w:tabs>
        <w:tab w:val="clear" w:pos="4536"/>
      </w:tabs>
      <w:ind w:hanging="142"/>
      <w:jc w:val="both"/>
      <w:rPr>
        <w:rFonts w:ascii="Arial" w:hAnsi="Arial" w:cs="Arial"/>
      </w:rPr>
    </w:pPr>
  </w:p>
  <w:p w14:paraId="6A737606" w14:textId="77777777" w:rsidR="00013AFE" w:rsidRDefault="00013AFE">
    <w:pPr>
      <w:pStyle w:val="Header"/>
      <w:tabs>
        <w:tab w:val="clear" w:pos="4536"/>
      </w:tabs>
      <w:ind w:hanging="142"/>
      <w:jc w:val="both"/>
      <w:rPr>
        <w:rFonts w:ascii="Arial" w:hAnsi="Arial" w:cs="Arial"/>
      </w:rPr>
    </w:pPr>
  </w:p>
  <w:p w14:paraId="6A83B8D7" w14:textId="77777777" w:rsidR="00013AFE" w:rsidRDefault="00013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80541"/>
    <w:multiLevelType w:val="multilevel"/>
    <w:tmpl w:val="3EE80541"/>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082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C2"/>
    <w:rsid w:val="000074B0"/>
    <w:rsid w:val="00013AFE"/>
    <w:rsid w:val="00013B0D"/>
    <w:rsid w:val="00023DC3"/>
    <w:rsid w:val="00027E89"/>
    <w:rsid w:val="00032BEF"/>
    <w:rsid w:val="00034076"/>
    <w:rsid w:val="00037B62"/>
    <w:rsid w:val="000413AA"/>
    <w:rsid w:val="0004460B"/>
    <w:rsid w:val="0004491C"/>
    <w:rsid w:val="00062AD3"/>
    <w:rsid w:val="00062D4B"/>
    <w:rsid w:val="000647DA"/>
    <w:rsid w:val="00064A73"/>
    <w:rsid w:val="00072297"/>
    <w:rsid w:val="00085808"/>
    <w:rsid w:val="00093C10"/>
    <w:rsid w:val="000949F8"/>
    <w:rsid w:val="000B2539"/>
    <w:rsid w:val="000B2891"/>
    <w:rsid w:val="000B3C01"/>
    <w:rsid w:val="000B6CC0"/>
    <w:rsid w:val="000C3798"/>
    <w:rsid w:val="000C68C1"/>
    <w:rsid w:val="000D4B84"/>
    <w:rsid w:val="000D6BCF"/>
    <w:rsid w:val="000E0A59"/>
    <w:rsid w:val="000E50ED"/>
    <w:rsid w:val="000E68A0"/>
    <w:rsid w:val="000E7A44"/>
    <w:rsid w:val="000F4820"/>
    <w:rsid w:val="000F4D41"/>
    <w:rsid w:val="00106882"/>
    <w:rsid w:val="00106F35"/>
    <w:rsid w:val="001173C8"/>
    <w:rsid w:val="00117AD3"/>
    <w:rsid w:val="001230D4"/>
    <w:rsid w:val="00124627"/>
    <w:rsid w:val="001276C9"/>
    <w:rsid w:val="0013348E"/>
    <w:rsid w:val="00133BCE"/>
    <w:rsid w:val="0014475B"/>
    <w:rsid w:val="0014794D"/>
    <w:rsid w:val="00152135"/>
    <w:rsid w:val="001551C5"/>
    <w:rsid w:val="00161C2F"/>
    <w:rsid w:val="00163686"/>
    <w:rsid w:val="00165436"/>
    <w:rsid w:val="00166337"/>
    <w:rsid w:val="001712FF"/>
    <w:rsid w:val="0017279B"/>
    <w:rsid w:val="001736E6"/>
    <w:rsid w:val="00181E5B"/>
    <w:rsid w:val="00184BEE"/>
    <w:rsid w:val="00185449"/>
    <w:rsid w:val="001865C2"/>
    <w:rsid w:val="00186C33"/>
    <w:rsid w:val="00196E93"/>
    <w:rsid w:val="001A44C5"/>
    <w:rsid w:val="001B3C35"/>
    <w:rsid w:val="001B5121"/>
    <w:rsid w:val="001C5036"/>
    <w:rsid w:val="001C5EB7"/>
    <w:rsid w:val="001D15B3"/>
    <w:rsid w:val="001D2F71"/>
    <w:rsid w:val="001E34BA"/>
    <w:rsid w:val="001E3E0F"/>
    <w:rsid w:val="001E7AAB"/>
    <w:rsid w:val="00205117"/>
    <w:rsid w:val="002063FE"/>
    <w:rsid w:val="002078EB"/>
    <w:rsid w:val="002105F9"/>
    <w:rsid w:val="002178CE"/>
    <w:rsid w:val="00222D9F"/>
    <w:rsid w:val="0022308A"/>
    <w:rsid w:val="002276C7"/>
    <w:rsid w:val="0023490F"/>
    <w:rsid w:val="00235B2F"/>
    <w:rsid w:val="00235BD8"/>
    <w:rsid w:val="00241116"/>
    <w:rsid w:val="002467E7"/>
    <w:rsid w:val="002748D7"/>
    <w:rsid w:val="00281443"/>
    <w:rsid w:val="00281D87"/>
    <w:rsid w:val="0029098F"/>
    <w:rsid w:val="0029396F"/>
    <w:rsid w:val="00295631"/>
    <w:rsid w:val="002A0452"/>
    <w:rsid w:val="002A525A"/>
    <w:rsid w:val="002A7A47"/>
    <w:rsid w:val="002B2535"/>
    <w:rsid w:val="002C7EE2"/>
    <w:rsid w:val="002D1DE2"/>
    <w:rsid w:val="002E518B"/>
    <w:rsid w:val="002F0B39"/>
    <w:rsid w:val="002F0CBB"/>
    <w:rsid w:val="002F374E"/>
    <w:rsid w:val="002F7880"/>
    <w:rsid w:val="00300D67"/>
    <w:rsid w:val="003112F7"/>
    <w:rsid w:val="00315503"/>
    <w:rsid w:val="00316A9A"/>
    <w:rsid w:val="00324B8B"/>
    <w:rsid w:val="003263AA"/>
    <w:rsid w:val="003273A9"/>
    <w:rsid w:val="00327ED3"/>
    <w:rsid w:val="003309E3"/>
    <w:rsid w:val="00335AD2"/>
    <w:rsid w:val="003458FC"/>
    <w:rsid w:val="00345B61"/>
    <w:rsid w:val="0035636B"/>
    <w:rsid w:val="00362364"/>
    <w:rsid w:val="00366814"/>
    <w:rsid w:val="00383152"/>
    <w:rsid w:val="00386C40"/>
    <w:rsid w:val="0039091E"/>
    <w:rsid w:val="00391140"/>
    <w:rsid w:val="003A0F03"/>
    <w:rsid w:val="003A2FFD"/>
    <w:rsid w:val="003B3CB4"/>
    <w:rsid w:val="003B6747"/>
    <w:rsid w:val="003B7133"/>
    <w:rsid w:val="003C246C"/>
    <w:rsid w:val="003C261A"/>
    <w:rsid w:val="003C7BDD"/>
    <w:rsid w:val="003D28B4"/>
    <w:rsid w:val="003D49FD"/>
    <w:rsid w:val="003E20D5"/>
    <w:rsid w:val="003E2BE0"/>
    <w:rsid w:val="003E3AD4"/>
    <w:rsid w:val="003E5CC7"/>
    <w:rsid w:val="003F0442"/>
    <w:rsid w:val="003F23D7"/>
    <w:rsid w:val="003F3C39"/>
    <w:rsid w:val="003F47B1"/>
    <w:rsid w:val="003F76B9"/>
    <w:rsid w:val="003F7AD0"/>
    <w:rsid w:val="00402492"/>
    <w:rsid w:val="0040286A"/>
    <w:rsid w:val="00413146"/>
    <w:rsid w:val="004209AC"/>
    <w:rsid w:val="00421361"/>
    <w:rsid w:val="0042385D"/>
    <w:rsid w:val="00427542"/>
    <w:rsid w:val="004308A1"/>
    <w:rsid w:val="00431FB1"/>
    <w:rsid w:val="0043383A"/>
    <w:rsid w:val="0044164B"/>
    <w:rsid w:val="0044798B"/>
    <w:rsid w:val="004520B0"/>
    <w:rsid w:val="004528A6"/>
    <w:rsid w:val="004609BD"/>
    <w:rsid w:val="00462F03"/>
    <w:rsid w:val="00467A25"/>
    <w:rsid w:val="004716CF"/>
    <w:rsid w:val="0047239A"/>
    <w:rsid w:val="00472E68"/>
    <w:rsid w:val="0047404F"/>
    <w:rsid w:val="00486176"/>
    <w:rsid w:val="00492DE0"/>
    <w:rsid w:val="00495CC3"/>
    <w:rsid w:val="004A1C91"/>
    <w:rsid w:val="004A3DB2"/>
    <w:rsid w:val="004A6A08"/>
    <w:rsid w:val="004C2B66"/>
    <w:rsid w:val="004C4492"/>
    <w:rsid w:val="004D0612"/>
    <w:rsid w:val="004D14FC"/>
    <w:rsid w:val="004D2F8E"/>
    <w:rsid w:val="004D78A9"/>
    <w:rsid w:val="004F1F1A"/>
    <w:rsid w:val="00503358"/>
    <w:rsid w:val="0050556A"/>
    <w:rsid w:val="00505AE8"/>
    <w:rsid w:val="005075C0"/>
    <w:rsid w:val="00511122"/>
    <w:rsid w:val="0051182B"/>
    <w:rsid w:val="00515940"/>
    <w:rsid w:val="00516DF7"/>
    <w:rsid w:val="005170CB"/>
    <w:rsid w:val="00523096"/>
    <w:rsid w:val="005238E9"/>
    <w:rsid w:val="00534AB8"/>
    <w:rsid w:val="0053699A"/>
    <w:rsid w:val="00536D61"/>
    <w:rsid w:val="00536FA9"/>
    <w:rsid w:val="00546DA9"/>
    <w:rsid w:val="005471EA"/>
    <w:rsid w:val="0055322C"/>
    <w:rsid w:val="005626FC"/>
    <w:rsid w:val="00564E8A"/>
    <w:rsid w:val="0057500A"/>
    <w:rsid w:val="0058267E"/>
    <w:rsid w:val="005934F6"/>
    <w:rsid w:val="005A22F1"/>
    <w:rsid w:val="005A2FBA"/>
    <w:rsid w:val="005A40B0"/>
    <w:rsid w:val="005A69F1"/>
    <w:rsid w:val="005A70B2"/>
    <w:rsid w:val="005A798E"/>
    <w:rsid w:val="005A7C19"/>
    <w:rsid w:val="005C60DE"/>
    <w:rsid w:val="005C62B0"/>
    <w:rsid w:val="005D30A5"/>
    <w:rsid w:val="005D55A4"/>
    <w:rsid w:val="005E23A3"/>
    <w:rsid w:val="005E2990"/>
    <w:rsid w:val="005E4026"/>
    <w:rsid w:val="005F1CF4"/>
    <w:rsid w:val="00602EA8"/>
    <w:rsid w:val="0060614E"/>
    <w:rsid w:val="006076AA"/>
    <w:rsid w:val="00612922"/>
    <w:rsid w:val="0061719D"/>
    <w:rsid w:val="00617710"/>
    <w:rsid w:val="0062548F"/>
    <w:rsid w:val="006254EB"/>
    <w:rsid w:val="00625D82"/>
    <w:rsid w:val="00632A00"/>
    <w:rsid w:val="006341E6"/>
    <w:rsid w:val="00634A34"/>
    <w:rsid w:val="00636503"/>
    <w:rsid w:val="006367C2"/>
    <w:rsid w:val="00646694"/>
    <w:rsid w:val="00656A4C"/>
    <w:rsid w:val="00664346"/>
    <w:rsid w:val="00673A18"/>
    <w:rsid w:val="00675F22"/>
    <w:rsid w:val="0067603E"/>
    <w:rsid w:val="006764D3"/>
    <w:rsid w:val="00676FCB"/>
    <w:rsid w:val="0068060B"/>
    <w:rsid w:val="0068522C"/>
    <w:rsid w:val="006917BF"/>
    <w:rsid w:val="006974A9"/>
    <w:rsid w:val="006A0A24"/>
    <w:rsid w:val="006A0DC9"/>
    <w:rsid w:val="006A6CB2"/>
    <w:rsid w:val="006B5284"/>
    <w:rsid w:val="006B7DDE"/>
    <w:rsid w:val="006C4677"/>
    <w:rsid w:val="006C6EBC"/>
    <w:rsid w:val="006D3E78"/>
    <w:rsid w:val="006D5ED6"/>
    <w:rsid w:val="006E17F1"/>
    <w:rsid w:val="006E40F1"/>
    <w:rsid w:val="006F25B9"/>
    <w:rsid w:val="006F6E18"/>
    <w:rsid w:val="00702F8B"/>
    <w:rsid w:val="007060C7"/>
    <w:rsid w:val="0070619F"/>
    <w:rsid w:val="0070751A"/>
    <w:rsid w:val="00710B31"/>
    <w:rsid w:val="00712A1B"/>
    <w:rsid w:val="007135DB"/>
    <w:rsid w:val="00722639"/>
    <w:rsid w:val="007254C7"/>
    <w:rsid w:val="007261A3"/>
    <w:rsid w:val="00730737"/>
    <w:rsid w:val="007324DE"/>
    <w:rsid w:val="0073253A"/>
    <w:rsid w:val="00733316"/>
    <w:rsid w:val="007353F2"/>
    <w:rsid w:val="00736545"/>
    <w:rsid w:val="00737FF6"/>
    <w:rsid w:val="00746B80"/>
    <w:rsid w:val="00753E47"/>
    <w:rsid w:val="007547D8"/>
    <w:rsid w:val="00760544"/>
    <w:rsid w:val="007611F5"/>
    <w:rsid w:val="00764E6A"/>
    <w:rsid w:val="0077269D"/>
    <w:rsid w:val="007940AF"/>
    <w:rsid w:val="00794B06"/>
    <w:rsid w:val="007978DA"/>
    <w:rsid w:val="007A1AE1"/>
    <w:rsid w:val="007A48C9"/>
    <w:rsid w:val="007A705F"/>
    <w:rsid w:val="007B064E"/>
    <w:rsid w:val="007B0820"/>
    <w:rsid w:val="007B3A5E"/>
    <w:rsid w:val="007B604E"/>
    <w:rsid w:val="007C1FAD"/>
    <w:rsid w:val="007C2FCA"/>
    <w:rsid w:val="007C4753"/>
    <w:rsid w:val="007C7F73"/>
    <w:rsid w:val="007D202B"/>
    <w:rsid w:val="007D39BB"/>
    <w:rsid w:val="007D6505"/>
    <w:rsid w:val="007E03A4"/>
    <w:rsid w:val="007F1F2E"/>
    <w:rsid w:val="007F4EA9"/>
    <w:rsid w:val="007F7C7F"/>
    <w:rsid w:val="00803798"/>
    <w:rsid w:val="00820138"/>
    <w:rsid w:val="0082789A"/>
    <w:rsid w:val="008310D6"/>
    <w:rsid w:val="0083398C"/>
    <w:rsid w:val="00833F8D"/>
    <w:rsid w:val="00837B7B"/>
    <w:rsid w:val="00841A29"/>
    <w:rsid w:val="008439A9"/>
    <w:rsid w:val="00850A66"/>
    <w:rsid w:val="00851364"/>
    <w:rsid w:val="0085561B"/>
    <w:rsid w:val="00857E4D"/>
    <w:rsid w:val="00865655"/>
    <w:rsid w:val="00866AB0"/>
    <w:rsid w:val="00870D40"/>
    <w:rsid w:val="00883708"/>
    <w:rsid w:val="008869A9"/>
    <w:rsid w:val="00896C4A"/>
    <w:rsid w:val="00897DBF"/>
    <w:rsid w:val="008A2C71"/>
    <w:rsid w:val="008B055E"/>
    <w:rsid w:val="008C4C63"/>
    <w:rsid w:val="008D0F71"/>
    <w:rsid w:val="008D350A"/>
    <w:rsid w:val="008D5021"/>
    <w:rsid w:val="008D5979"/>
    <w:rsid w:val="008E4A71"/>
    <w:rsid w:val="008E63AB"/>
    <w:rsid w:val="008E63DB"/>
    <w:rsid w:val="008E6BD5"/>
    <w:rsid w:val="008F6CCB"/>
    <w:rsid w:val="00901809"/>
    <w:rsid w:val="00903FB1"/>
    <w:rsid w:val="00906AA5"/>
    <w:rsid w:val="00907941"/>
    <w:rsid w:val="00916208"/>
    <w:rsid w:val="0091626D"/>
    <w:rsid w:val="00917AC0"/>
    <w:rsid w:val="00920C96"/>
    <w:rsid w:val="009227B1"/>
    <w:rsid w:val="009262DD"/>
    <w:rsid w:val="00932865"/>
    <w:rsid w:val="0093449C"/>
    <w:rsid w:val="00935113"/>
    <w:rsid w:val="0093555C"/>
    <w:rsid w:val="0094067C"/>
    <w:rsid w:val="00943176"/>
    <w:rsid w:val="00944779"/>
    <w:rsid w:val="0095792D"/>
    <w:rsid w:val="00964B7E"/>
    <w:rsid w:val="009705B1"/>
    <w:rsid w:val="00971A37"/>
    <w:rsid w:val="00972A69"/>
    <w:rsid w:val="009902E3"/>
    <w:rsid w:val="009903D4"/>
    <w:rsid w:val="009916A2"/>
    <w:rsid w:val="009930CB"/>
    <w:rsid w:val="009931DF"/>
    <w:rsid w:val="00994A18"/>
    <w:rsid w:val="00996585"/>
    <w:rsid w:val="00996FC8"/>
    <w:rsid w:val="009A036F"/>
    <w:rsid w:val="009A0A2D"/>
    <w:rsid w:val="009A1221"/>
    <w:rsid w:val="009A1965"/>
    <w:rsid w:val="009A1A35"/>
    <w:rsid w:val="009A340F"/>
    <w:rsid w:val="009B12FC"/>
    <w:rsid w:val="009B2298"/>
    <w:rsid w:val="009B2D48"/>
    <w:rsid w:val="009B33EC"/>
    <w:rsid w:val="009B60AB"/>
    <w:rsid w:val="009B7407"/>
    <w:rsid w:val="009B7F8C"/>
    <w:rsid w:val="009C120C"/>
    <w:rsid w:val="009C3413"/>
    <w:rsid w:val="009D3AFF"/>
    <w:rsid w:val="009D6441"/>
    <w:rsid w:val="009E0582"/>
    <w:rsid w:val="009E5874"/>
    <w:rsid w:val="009E7284"/>
    <w:rsid w:val="009F242E"/>
    <w:rsid w:val="009F25AC"/>
    <w:rsid w:val="009F3673"/>
    <w:rsid w:val="00A007C4"/>
    <w:rsid w:val="00A00F9B"/>
    <w:rsid w:val="00A02B57"/>
    <w:rsid w:val="00A119B2"/>
    <w:rsid w:val="00A1227C"/>
    <w:rsid w:val="00A14073"/>
    <w:rsid w:val="00A269F0"/>
    <w:rsid w:val="00A27082"/>
    <w:rsid w:val="00A27779"/>
    <w:rsid w:val="00A37E1A"/>
    <w:rsid w:val="00A409E4"/>
    <w:rsid w:val="00A43648"/>
    <w:rsid w:val="00A443FA"/>
    <w:rsid w:val="00A47E23"/>
    <w:rsid w:val="00A50567"/>
    <w:rsid w:val="00A576DF"/>
    <w:rsid w:val="00A7031A"/>
    <w:rsid w:val="00A70F5C"/>
    <w:rsid w:val="00A723D6"/>
    <w:rsid w:val="00A7386A"/>
    <w:rsid w:val="00A80FA5"/>
    <w:rsid w:val="00A8515F"/>
    <w:rsid w:val="00A90D1C"/>
    <w:rsid w:val="00AA41AA"/>
    <w:rsid w:val="00AB07F6"/>
    <w:rsid w:val="00AC1D75"/>
    <w:rsid w:val="00AC4114"/>
    <w:rsid w:val="00AC4E70"/>
    <w:rsid w:val="00AD3260"/>
    <w:rsid w:val="00AD3CF7"/>
    <w:rsid w:val="00AD5971"/>
    <w:rsid w:val="00AD6844"/>
    <w:rsid w:val="00AE3587"/>
    <w:rsid w:val="00AF0005"/>
    <w:rsid w:val="00AF2900"/>
    <w:rsid w:val="00B002C8"/>
    <w:rsid w:val="00B05A4F"/>
    <w:rsid w:val="00B116FE"/>
    <w:rsid w:val="00B14146"/>
    <w:rsid w:val="00B23276"/>
    <w:rsid w:val="00B32FC7"/>
    <w:rsid w:val="00B462EA"/>
    <w:rsid w:val="00B50EEA"/>
    <w:rsid w:val="00B53DFD"/>
    <w:rsid w:val="00B54667"/>
    <w:rsid w:val="00B6042D"/>
    <w:rsid w:val="00B60D62"/>
    <w:rsid w:val="00B60E08"/>
    <w:rsid w:val="00B614C1"/>
    <w:rsid w:val="00B62B32"/>
    <w:rsid w:val="00B6510C"/>
    <w:rsid w:val="00B65610"/>
    <w:rsid w:val="00B700CA"/>
    <w:rsid w:val="00B803A0"/>
    <w:rsid w:val="00B80EB5"/>
    <w:rsid w:val="00B8455A"/>
    <w:rsid w:val="00B87637"/>
    <w:rsid w:val="00B87E6A"/>
    <w:rsid w:val="00B90ECE"/>
    <w:rsid w:val="00B913A3"/>
    <w:rsid w:val="00B917D6"/>
    <w:rsid w:val="00BA4263"/>
    <w:rsid w:val="00BB2930"/>
    <w:rsid w:val="00BC14C1"/>
    <w:rsid w:val="00BC2E91"/>
    <w:rsid w:val="00BC3A44"/>
    <w:rsid w:val="00BC5D87"/>
    <w:rsid w:val="00BD048B"/>
    <w:rsid w:val="00BE5F55"/>
    <w:rsid w:val="00BE7CF5"/>
    <w:rsid w:val="00BF10B9"/>
    <w:rsid w:val="00BF18DD"/>
    <w:rsid w:val="00C00958"/>
    <w:rsid w:val="00C04AA6"/>
    <w:rsid w:val="00C05541"/>
    <w:rsid w:val="00C07F7A"/>
    <w:rsid w:val="00C1161B"/>
    <w:rsid w:val="00C11F86"/>
    <w:rsid w:val="00C16711"/>
    <w:rsid w:val="00C17288"/>
    <w:rsid w:val="00C2169E"/>
    <w:rsid w:val="00C308D6"/>
    <w:rsid w:val="00C33939"/>
    <w:rsid w:val="00C33CB7"/>
    <w:rsid w:val="00C376C4"/>
    <w:rsid w:val="00C43472"/>
    <w:rsid w:val="00C4459D"/>
    <w:rsid w:val="00C44F2E"/>
    <w:rsid w:val="00C466A3"/>
    <w:rsid w:val="00C46AD2"/>
    <w:rsid w:val="00C52C76"/>
    <w:rsid w:val="00C54D9E"/>
    <w:rsid w:val="00C60A1F"/>
    <w:rsid w:val="00C6386F"/>
    <w:rsid w:val="00C64988"/>
    <w:rsid w:val="00C656E3"/>
    <w:rsid w:val="00C6595F"/>
    <w:rsid w:val="00C67061"/>
    <w:rsid w:val="00C742CA"/>
    <w:rsid w:val="00C7503B"/>
    <w:rsid w:val="00C757BD"/>
    <w:rsid w:val="00C81ECE"/>
    <w:rsid w:val="00C845FF"/>
    <w:rsid w:val="00C86503"/>
    <w:rsid w:val="00C8719E"/>
    <w:rsid w:val="00C90E6F"/>
    <w:rsid w:val="00C938C0"/>
    <w:rsid w:val="00CA13DF"/>
    <w:rsid w:val="00CA37E0"/>
    <w:rsid w:val="00CA5392"/>
    <w:rsid w:val="00CB38C1"/>
    <w:rsid w:val="00CB4A66"/>
    <w:rsid w:val="00CB6354"/>
    <w:rsid w:val="00CC1800"/>
    <w:rsid w:val="00CC2F5B"/>
    <w:rsid w:val="00CC4ABB"/>
    <w:rsid w:val="00CD2508"/>
    <w:rsid w:val="00CD39EA"/>
    <w:rsid w:val="00CD4D74"/>
    <w:rsid w:val="00CD58D4"/>
    <w:rsid w:val="00CD6880"/>
    <w:rsid w:val="00CD7480"/>
    <w:rsid w:val="00CE3DA6"/>
    <w:rsid w:val="00CF0E7D"/>
    <w:rsid w:val="00CF0EAD"/>
    <w:rsid w:val="00CF3A35"/>
    <w:rsid w:val="00CF54C2"/>
    <w:rsid w:val="00CF627F"/>
    <w:rsid w:val="00D01C3E"/>
    <w:rsid w:val="00D06FB9"/>
    <w:rsid w:val="00D16DE8"/>
    <w:rsid w:val="00D263FA"/>
    <w:rsid w:val="00D26D54"/>
    <w:rsid w:val="00D30E9B"/>
    <w:rsid w:val="00D3228B"/>
    <w:rsid w:val="00D3577A"/>
    <w:rsid w:val="00D459FA"/>
    <w:rsid w:val="00D5067C"/>
    <w:rsid w:val="00D51677"/>
    <w:rsid w:val="00D52CAF"/>
    <w:rsid w:val="00D5607D"/>
    <w:rsid w:val="00D56EF4"/>
    <w:rsid w:val="00D57A54"/>
    <w:rsid w:val="00D66371"/>
    <w:rsid w:val="00D70C92"/>
    <w:rsid w:val="00D74D98"/>
    <w:rsid w:val="00D83154"/>
    <w:rsid w:val="00D83C57"/>
    <w:rsid w:val="00D9154B"/>
    <w:rsid w:val="00D93872"/>
    <w:rsid w:val="00DA5EE6"/>
    <w:rsid w:val="00DB216A"/>
    <w:rsid w:val="00DB255C"/>
    <w:rsid w:val="00DB3594"/>
    <w:rsid w:val="00DB4704"/>
    <w:rsid w:val="00DB4862"/>
    <w:rsid w:val="00DC4CC2"/>
    <w:rsid w:val="00DE083B"/>
    <w:rsid w:val="00DE7C0F"/>
    <w:rsid w:val="00DE7E7D"/>
    <w:rsid w:val="00DF1060"/>
    <w:rsid w:val="00DF276E"/>
    <w:rsid w:val="00DF2976"/>
    <w:rsid w:val="00E01853"/>
    <w:rsid w:val="00E018BD"/>
    <w:rsid w:val="00E07A02"/>
    <w:rsid w:val="00E2302C"/>
    <w:rsid w:val="00E26901"/>
    <w:rsid w:val="00E33E10"/>
    <w:rsid w:val="00E3581B"/>
    <w:rsid w:val="00E47D29"/>
    <w:rsid w:val="00E51BCC"/>
    <w:rsid w:val="00E6004A"/>
    <w:rsid w:val="00E60616"/>
    <w:rsid w:val="00E7101D"/>
    <w:rsid w:val="00E82139"/>
    <w:rsid w:val="00E832EC"/>
    <w:rsid w:val="00E850B9"/>
    <w:rsid w:val="00E904AA"/>
    <w:rsid w:val="00E95653"/>
    <w:rsid w:val="00EA1CAD"/>
    <w:rsid w:val="00EA4813"/>
    <w:rsid w:val="00EB5C6D"/>
    <w:rsid w:val="00EB69FA"/>
    <w:rsid w:val="00EC727B"/>
    <w:rsid w:val="00ED1B02"/>
    <w:rsid w:val="00EE0AE9"/>
    <w:rsid w:val="00EE0E0F"/>
    <w:rsid w:val="00EE17A9"/>
    <w:rsid w:val="00EE27B8"/>
    <w:rsid w:val="00EE2A71"/>
    <w:rsid w:val="00F01B06"/>
    <w:rsid w:val="00F108E9"/>
    <w:rsid w:val="00F1697F"/>
    <w:rsid w:val="00F2134B"/>
    <w:rsid w:val="00F26DA3"/>
    <w:rsid w:val="00F302D5"/>
    <w:rsid w:val="00F31395"/>
    <w:rsid w:val="00F31869"/>
    <w:rsid w:val="00F32D93"/>
    <w:rsid w:val="00F36CB2"/>
    <w:rsid w:val="00F42CBE"/>
    <w:rsid w:val="00F448C3"/>
    <w:rsid w:val="00F47092"/>
    <w:rsid w:val="00F5087A"/>
    <w:rsid w:val="00F5250E"/>
    <w:rsid w:val="00F52D44"/>
    <w:rsid w:val="00F5592B"/>
    <w:rsid w:val="00F56303"/>
    <w:rsid w:val="00F566E5"/>
    <w:rsid w:val="00F63B5D"/>
    <w:rsid w:val="00F67379"/>
    <w:rsid w:val="00F75B69"/>
    <w:rsid w:val="00F81198"/>
    <w:rsid w:val="00F979C6"/>
    <w:rsid w:val="00FB0865"/>
    <w:rsid w:val="00FB53A0"/>
    <w:rsid w:val="00FC0E9B"/>
    <w:rsid w:val="00FC1AF5"/>
    <w:rsid w:val="00FD055D"/>
    <w:rsid w:val="00FD0E15"/>
    <w:rsid w:val="00FD2570"/>
    <w:rsid w:val="00FD4F84"/>
    <w:rsid w:val="00FD6F5D"/>
    <w:rsid w:val="00FE3202"/>
    <w:rsid w:val="00FF3727"/>
    <w:rsid w:val="38E471D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E07F9"/>
  <w15:docId w15:val="{F2863FF6-5A49-4FC4-AE93-645129A2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pPr>
    <w:rPr>
      <w:rFonts w:ascii="DIN-Regular" w:eastAsia="DIN-Regular" w:hAnsi="DIN-Regular" w:cs="DIN-Regular"/>
      <w:sz w:val="22"/>
      <w:szCs w:val="22"/>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paragraph" w:styleId="CommentSubject">
    <w:name w:val="annotation subject"/>
    <w:basedOn w:val="CommentText"/>
    <w:next w:val="CommentText"/>
    <w:link w:val="CommentSubjectChar"/>
    <w:semiHidden/>
    <w:unhideWhenUsed/>
    <w:rPr>
      <w:b/>
      <w:bCs/>
    </w:rPr>
  </w:style>
  <w:style w:type="character" w:styleId="FollowedHyperlink">
    <w:name w:val="FollowedHyperlink"/>
    <w:rPr>
      <w:color w:val="800080"/>
      <w:u w:val="single"/>
    </w:rPr>
  </w:style>
  <w:style w:type="paragraph" w:styleId="Footer">
    <w:name w:val="footer"/>
    <w:basedOn w:val="Normal"/>
    <w:pPr>
      <w:tabs>
        <w:tab w:val="center" w:pos="4536"/>
        <w:tab w:val="right" w:pos="9072"/>
      </w:tabs>
    </w:pPr>
  </w:style>
  <w:style w:type="paragraph" w:styleId="Header">
    <w:name w:val="header"/>
    <w:basedOn w:val="Normal"/>
    <w:link w:val="HeaderChar"/>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qFormat/>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widowControl w:val="0"/>
      <w:autoSpaceDE w:val="0"/>
      <w:autoSpaceDN w:val="0"/>
      <w:spacing w:before="134"/>
      <w:ind w:left="707" w:right="765"/>
      <w:jc w:val="center"/>
    </w:pPr>
    <w:rPr>
      <w:rFonts w:ascii="DIN-Bold" w:eastAsia="DIN-Bold" w:hAnsi="DIN-Bold" w:cs="DIN-Bold"/>
      <w:b/>
      <w:bCs/>
      <w:sz w:val="48"/>
      <w:szCs w:val="48"/>
      <w:lang w:eastAsia="en-US"/>
    </w:rPr>
  </w:style>
  <w:style w:type="character" w:customStyle="1" w:styleId="HeaderChar">
    <w:name w:val="Header Char"/>
    <w:link w:val="Header"/>
    <w:rPr>
      <w:sz w:val="24"/>
      <w:lang w:val="en-GB" w:eastAsia="fr-FR"/>
    </w:rPr>
  </w:style>
  <w:style w:type="character" w:customStyle="1" w:styleId="ListParagraphChar">
    <w:name w:val="List Paragraph Char"/>
    <w:basedOn w:val="DefaultParagraphFont"/>
    <w:link w:val="ListParagraph"/>
    <w:uiPriority w:val="34"/>
    <w:locked/>
    <w:rPr>
      <w:rFonts w:ascii="Calibri" w:hAnsi="Calibri" w:cs="Calibri"/>
      <w:lang w:eastAsia="en-US"/>
    </w:rPr>
  </w:style>
  <w:style w:type="paragraph" w:styleId="ListParagraph">
    <w:name w:val="List Paragraph"/>
    <w:basedOn w:val="Normal"/>
    <w:link w:val="ListParagraphChar"/>
    <w:uiPriority w:val="34"/>
    <w:qFormat/>
    <w:pPr>
      <w:ind w:left="720"/>
    </w:pPr>
    <w:rPr>
      <w:rFonts w:ascii="Calibri" w:hAnsi="Calibri" w:cs="Calibri"/>
      <w:sz w:val="20"/>
      <w:lang w:val="fr-BE" w:eastAsia="en-US"/>
    </w:rPr>
  </w:style>
  <w:style w:type="character" w:customStyle="1" w:styleId="CommentTextChar">
    <w:name w:val="Comment Text Char"/>
    <w:basedOn w:val="DefaultParagraphFont"/>
    <w:link w:val="CommentText"/>
    <w:rPr>
      <w:lang w:val="en-GB" w:eastAsia="fr-FR"/>
    </w:rPr>
  </w:style>
  <w:style w:type="character" w:customStyle="1" w:styleId="CommentSubjectChar">
    <w:name w:val="Comment Subject Char"/>
    <w:basedOn w:val="CommentTextChar"/>
    <w:link w:val="CommentSubject"/>
    <w:semiHidden/>
    <w:rPr>
      <w:b/>
      <w:bCs/>
      <w:lang w:val="en-GB" w:eastAsia="fr-FR"/>
    </w:rPr>
  </w:style>
  <w:style w:type="paragraph" w:customStyle="1" w:styleId="Revision1">
    <w:name w:val="Revision1"/>
    <w:hidden/>
    <w:uiPriority w:val="99"/>
    <w:semiHidden/>
    <w:rPr>
      <w:sz w:val="24"/>
      <w:lang w:eastAsia="fr-FR"/>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xxmsonormal">
    <w:name w:val="x_xmsonormal"/>
    <w:basedOn w:val="Normal"/>
    <w:rPr>
      <w:rFonts w:ascii="Calibri" w:eastAsiaTheme="minorHAnsi" w:hAnsi="Calibri" w:cs="Calibri"/>
      <w:sz w:val="22"/>
      <w:szCs w:val="22"/>
      <w:lang w:eastAsia="en-GB"/>
    </w:rPr>
  </w:style>
  <w:style w:type="character" w:customStyle="1" w:styleId="TitleChar">
    <w:name w:val="Title Char"/>
    <w:basedOn w:val="DefaultParagraphFont"/>
    <w:link w:val="Title"/>
    <w:uiPriority w:val="10"/>
    <w:rPr>
      <w:rFonts w:ascii="DIN-Bold" w:eastAsia="DIN-Bold" w:hAnsi="DIN-Bold" w:cs="DIN-Bold"/>
      <w:b/>
      <w:bCs/>
      <w:sz w:val="48"/>
      <w:szCs w:val="48"/>
      <w:lang w:val="en-GB" w:eastAsia="en-US"/>
    </w:rPr>
  </w:style>
  <w:style w:type="character" w:customStyle="1" w:styleId="BodyTextChar">
    <w:name w:val="Body Text Char"/>
    <w:basedOn w:val="DefaultParagraphFont"/>
    <w:link w:val="BodyText"/>
    <w:uiPriority w:val="1"/>
    <w:rPr>
      <w:rFonts w:ascii="DIN-Regular" w:eastAsia="DIN-Regular" w:hAnsi="DIN-Regular" w:cs="DIN-Regular"/>
      <w:sz w:val="22"/>
      <w:szCs w:val="22"/>
      <w:lang w:val="en-GB" w:eastAsia="en-US"/>
    </w:rPr>
  </w:style>
  <w:style w:type="paragraph" w:styleId="Revision">
    <w:name w:val="Revision"/>
    <w:hidden/>
    <w:uiPriority w:val="99"/>
    <w:semiHidden/>
    <w:rsid w:val="00702F8B"/>
    <w:rPr>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86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businesseurope" TargetMode="External"/><Relationship Id="rId2" Type="http://schemas.openxmlformats.org/officeDocument/2006/relationships/hyperlink" Target="mailto:main@businesseurope.eu" TargetMode="External"/><Relationship Id="rId1" Type="http://schemas.openxmlformats.org/officeDocument/2006/relationships/hyperlink" Target="http://WWW.BUSINESS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51D6AD5B71A4BB823582EADCC62A4" ma:contentTypeVersion="4" ma:contentTypeDescription="Create a new document." ma:contentTypeScope="" ma:versionID="a00439aa7f4472a448cb20de0165cf61">
  <xsd:schema xmlns:xsd="http://www.w3.org/2001/XMLSchema" xmlns:xs="http://www.w3.org/2001/XMLSchema" xmlns:p="http://schemas.microsoft.com/office/2006/metadata/properties" xmlns:ns3="4d393248-47f8-4736-94f8-36e20a1a7bf3" targetNamespace="http://schemas.microsoft.com/office/2006/metadata/properties" ma:root="true" ma:fieldsID="c281bccf873124c581ba2658f9d69f39" ns3:_="">
    <xsd:import namespace="4d393248-47f8-4736-94f8-36e20a1a7b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3248-47f8-4736-94f8-36e20a1a7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7326-D562-4AB2-B74C-6D8758593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93248-47f8-4736-94f8-36e20a1a7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12B9C-EA12-4022-A5E3-7D81513C4BA6}">
  <ds:schemaRefs>
    <ds:schemaRef ds:uri="http://schemas.microsoft.com/sharepoint/v3/contenttype/forms"/>
  </ds:schemaRefs>
</ds:datastoreItem>
</file>

<file path=customXml/itemProps3.xml><?xml version="1.0" encoding="utf-8"?>
<ds:datastoreItem xmlns:ds="http://schemas.openxmlformats.org/officeDocument/2006/customXml" ds:itemID="{275AC109-50EC-47F7-8D36-F92BD42C5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C8B8F-555F-4B0C-AD0F-76BA634B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1047</Words>
  <Characters>5978</Characters>
  <Application>Microsoft Office Word</Application>
  <DocSecurity>4</DocSecurity>
  <Lines>49</Lines>
  <Paragraphs>14</Paragraphs>
  <ScaleCrop>false</ScaleCrop>
  <HeadingPairs>
    <vt:vector size="6" baseType="variant">
      <vt:variant>
        <vt:lpstr>Titolo</vt:lpstr>
      </vt:variant>
      <vt:variant>
        <vt:i4>1</vt:i4>
      </vt:variant>
      <vt:variant>
        <vt:lpstr>Title</vt:lpstr>
      </vt:variant>
      <vt:variant>
        <vt:i4>1</vt:i4>
      </vt:variant>
      <vt:variant>
        <vt:lpstr>Název</vt:lpstr>
      </vt:variant>
      <vt:variant>
        <vt:i4>1</vt:i4>
      </vt:variant>
    </vt:vector>
  </HeadingPairs>
  <TitlesOfParts>
    <vt:vector size="3" baseType="lpstr">
      <vt:lpstr>EXBU NOTES</vt:lpstr>
      <vt:lpstr>EXBU NOTES</vt:lpstr>
      <vt:lpstr>EXBU NOTES</vt:lpstr>
    </vt:vector>
  </TitlesOfParts>
  <Company>BUSINESSEUROPE</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EXBU NOTES</dc:title>
  <dc:creator>Administrator</dc:creator>
  <cp:lastModifiedBy>de Liedekerke Thérèse</cp:lastModifiedBy>
  <cp:revision>2</cp:revision>
  <cp:lastPrinted>2022-05-24T11:52:00Z</cp:lastPrinted>
  <dcterms:created xsi:type="dcterms:W3CDTF">2022-05-27T13:03:00Z</dcterms:created>
  <dcterms:modified xsi:type="dcterms:W3CDTF">2022-05-27T13:03:00Z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C0AD4C55C61D409AB23ACFA74DFBF47F</vt:lpwstr>
  </property>
  <property fmtid="{D5CDD505-2E9C-101B-9397-08002B2CF9AE}" pid="4" name="ContentTypeId">
    <vt:lpwstr>0x01010069051D6AD5B71A4BB823582EADCC62A4</vt:lpwstr>
  </property>
</Properties>
</file>