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D5" w:rsidRPr="001E5A72" w:rsidRDefault="00364AD5" w:rsidP="00657F16">
      <w:pPr>
        <w:spacing w:after="0" w:line="240" w:lineRule="auto"/>
        <w:jc w:val="center"/>
        <w:rPr>
          <w:rFonts w:ascii="Segoe Pro" w:hAnsi="Segoe Pro"/>
          <w:b/>
          <w:sz w:val="24"/>
          <w:szCs w:val="24"/>
        </w:rPr>
      </w:pPr>
    </w:p>
    <w:p w:rsidR="0089468F" w:rsidRPr="0089468F" w:rsidRDefault="0089468F" w:rsidP="0089468F">
      <w:pPr>
        <w:jc w:val="center"/>
        <w:rPr>
          <w:rFonts w:ascii="Segoe Pro" w:hAnsi="Segoe Pro"/>
          <w:b/>
          <w:sz w:val="24"/>
          <w:szCs w:val="24"/>
        </w:rPr>
      </w:pPr>
      <w:bookmarkStart w:id="0" w:name="_Hlk484096333"/>
      <w:bookmarkEnd w:id="0"/>
      <w:r w:rsidRPr="0089468F">
        <w:rPr>
          <w:rFonts w:ascii="Segoe Pro" w:hAnsi="Segoe Pro"/>
          <w:b/>
          <w:sz w:val="24"/>
          <w:szCs w:val="24"/>
        </w:rPr>
        <w:t>Sparčiai kylant įrenginių panaudojimo lygiui,  įmonės bus priverstos investuoti į darbo našumą</w:t>
      </w:r>
    </w:p>
    <w:p w:rsidR="0089468F" w:rsidRPr="00BD5B63" w:rsidRDefault="0089468F" w:rsidP="0089468F">
      <w:pPr>
        <w:jc w:val="both"/>
        <w:rPr>
          <w:rFonts w:ascii="Segoe Pro" w:hAnsi="Segoe Pro"/>
          <w:b/>
          <w:sz w:val="20"/>
          <w:szCs w:val="20"/>
        </w:rPr>
      </w:pPr>
      <w:r w:rsidRPr="00BD5B63">
        <w:rPr>
          <w:rFonts w:ascii="Segoe Pro" w:hAnsi="Segoe Pro"/>
          <w:b/>
          <w:sz w:val="20"/>
          <w:szCs w:val="20"/>
        </w:rPr>
        <w:t>Lietuvos statistikos departamento duomenimis, per pirmus keturis šių metų mėnesius apdirbamosios pramonės gamyba (be rafinuotų naftos produktų) siekė 4,5 mlrd. EUR - tai 5,8 proc. daugiau nei lyginant su tuo pačiu laikotarpiu praėjusiais metais.</w:t>
      </w:r>
      <w:r w:rsidRPr="00BD5B63">
        <w:rPr>
          <w:rFonts w:ascii="Segoe Pro" w:hAnsi="Segoe Pro"/>
          <w:b/>
          <w:sz w:val="20"/>
          <w:szCs w:val="20"/>
        </w:rPr>
        <w:t xml:space="preserve"> </w:t>
      </w:r>
      <w:r w:rsidRPr="00BD5B63">
        <w:rPr>
          <w:rFonts w:ascii="Segoe Pro" w:hAnsi="Segoe Pro"/>
          <w:b/>
          <w:sz w:val="20"/>
          <w:szCs w:val="20"/>
        </w:rPr>
        <w:t xml:space="preserve">Didžiausias produkcijos augimas šių metų pradžioje fiksuojamas metalų, mašinų ir įrenginių pramonėje, kur produkcijos apimtys augo beveik 25 proc.  – pakilo nuo 747 mln. EUR iki  928 mln. EUR. Taip pat sparčiai augo ir elektronikos pramonė, kur užfiksuotas 16,4 proc. padidėjimas. Nedidelis sumažėjimas užfiksuotas tik maisto (-0,7 proc.) ir chemijos pramonėje (-1,9 proc.).  </w:t>
      </w:r>
    </w:p>
    <w:p w:rsidR="0089468F" w:rsidRPr="00BD5B63" w:rsidRDefault="0089468F" w:rsidP="0089468F">
      <w:pPr>
        <w:jc w:val="both"/>
        <w:rPr>
          <w:rFonts w:ascii="Segoe Pro" w:hAnsi="Segoe Pro"/>
          <w:sz w:val="20"/>
          <w:szCs w:val="20"/>
        </w:rPr>
      </w:pPr>
      <w:r w:rsidRPr="00BD5B63">
        <w:rPr>
          <w:rFonts w:ascii="Segoe Pro" w:hAnsi="Segoe Pro"/>
          <w:sz w:val="20"/>
          <w:szCs w:val="20"/>
        </w:rPr>
        <w:t>Vienas iš pagrindinių produkcijos apimčių augimo faktorių</w:t>
      </w:r>
      <w:r w:rsidRPr="00BD5B63">
        <w:rPr>
          <w:rFonts w:ascii="Segoe Pro" w:hAnsi="Segoe Pro"/>
          <w:sz w:val="20"/>
          <w:szCs w:val="20"/>
        </w:rPr>
        <w:t xml:space="preserve"> yra </w:t>
      </w:r>
      <w:r w:rsidRPr="00BD5B63">
        <w:rPr>
          <w:rFonts w:ascii="Segoe Pro" w:hAnsi="Segoe Pro"/>
          <w:sz w:val="20"/>
          <w:szCs w:val="20"/>
        </w:rPr>
        <w:t>eksportas. Lietuvos apdirbamoji pramonė užsienio rinkose realizuoja apie du trečdalius pagamintos produkcijos</w:t>
      </w:r>
      <w:r w:rsidR="00CE1E7A" w:rsidRPr="00BD5B63">
        <w:rPr>
          <w:rFonts w:ascii="Segoe Pro" w:hAnsi="Segoe Pro"/>
          <w:sz w:val="20"/>
          <w:szCs w:val="20"/>
        </w:rPr>
        <w:t>. P</w:t>
      </w:r>
      <w:r w:rsidRPr="00BD5B63">
        <w:rPr>
          <w:rFonts w:ascii="Segoe Pro" w:hAnsi="Segoe Pro"/>
          <w:sz w:val="20"/>
          <w:szCs w:val="20"/>
        </w:rPr>
        <w:t xml:space="preserve">irmąjį šių metų ketvirtį lietuviškos kilmės prekių eksportas, lyginant su tuo pačiu laikotarpiu praėjusiais metais, augo beveik 17 proc. </w:t>
      </w:r>
      <w:r w:rsidR="00CE1E7A" w:rsidRPr="00BD5B63">
        <w:rPr>
          <w:rFonts w:ascii="Segoe Pro" w:hAnsi="Segoe Pro"/>
          <w:sz w:val="20"/>
          <w:szCs w:val="20"/>
        </w:rPr>
        <w:t>M</w:t>
      </w:r>
      <w:r w:rsidRPr="00BD5B63">
        <w:rPr>
          <w:rFonts w:ascii="Segoe Pro" w:hAnsi="Segoe Pro"/>
          <w:sz w:val="20"/>
          <w:szCs w:val="20"/>
        </w:rPr>
        <w:t>ašinų, mechaninių įrenginių bei elektronikos eksportas augo 20 proc. arba 41 mln. EUR. (</w:t>
      </w:r>
      <w:r w:rsidRPr="00BD5B63">
        <w:rPr>
          <w:rFonts w:ascii="Segoe Pro" w:hAnsi="Segoe Pro" w:cs="Arial"/>
          <w:color w:val="222222"/>
          <w:sz w:val="20"/>
          <w:szCs w:val="20"/>
          <w:shd w:val="clear" w:color="auto" w:fill="FFFFFF"/>
        </w:rPr>
        <w:t>daugiausiai augo eksportas į Rusiją (+4,3 mln. EUR), Jungtinę Karalystę (+3,6 mln. EUR) ir  Ukrainą (+3 mln. EUR). E</w:t>
      </w:r>
      <w:r w:rsidRPr="00BD5B63">
        <w:rPr>
          <w:rFonts w:ascii="Segoe Pro" w:hAnsi="Segoe Pro"/>
          <w:sz w:val="20"/>
          <w:szCs w:val="20"/>
        </w:rPr>
        <w:t>lektronikos prekių eksportas augo  19 proc. (arba +25 mln. EUR) ir daugiausia buvo eksportuojama į Švediją. Eksportas į Švediją išaugo net  tris kartus (+25,6 mln. EUR), antroje ir trečioje vietose buvo Nyderlandai (+4 mln. EUR) ir Vokietija (+2 mln. EUR.</w:t>
      </w:r>
    </w:p>
    <w:p w:rsidR="0089468F" w:rsidRPr="00BD5B63" w:rsidRDefault="0089468F" w:rsidP="0089468F">
      <w:pPr>
        <w:jc w:val="both"/>
        <w:rPr>
          <w:sz w:val="20"/>
          <w:szCs w:val="20"/>
        </w:rPr>
      </w:pPr>
      <w:r w:rsidRPr="00BD5B63">
        <w:rPr>
          <w:sz w:val="20"/>
          <w:szCs w:val="20"/>
        </w:rPr>
        <w:t xml:space="preserve">Tokiam produkcijos augimui įtakos turėjo ir </w:t>
      </w:r>
      <w:r w:rsidRPr="00BD5B63">
        <w:rPr>
          <w:sz w:val="20"/>
          <w:szCs w:val="20"/>
        </w:rPr>
        <w:t>kylančios produkcijos kainos: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895"/>
        <w:gridCol w:w="2410"/>
        <w:gridCol w:w="1366"/>
      </w:tblGrid>
      <w:tr w:rsidR="0089468F" w:rsidRPr="002E47FE" w:rsidTr="0098103D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385623" w:themeColor="accent6" w:themeShade="80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:rsidR="0089468F" w:rsidRPr="002E47FE" w:rsidRDefault="0089468F" w:rsidP="0098103D">
            <w:pPr>
              <w:rPr>
                <w:b/>
                <w:color w:val="FFFFFF" w:themeColor="background1"/>
                <w:sz w:val="18"/>
              </w:rPr>
            </w:pPr>
            <w:r w:rsidRPr="002E47FE">
              <w:rPr>
                <w:b/>
                <w:color w:val="FFFFFF" w:themeColor="background1"/>
                <w:sz w:val="18"/>
              </w:rPr>
              <w:t>Sektorius</w:t>
            </w:r>
          </w:p>
        </w:tc>
        <w:tc>
          <w:tcPr>
            <w:tcW w:w="2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385623" w:themeColor="accent6" w:themeShade="80"/>
              <w:right w:val="single" w:sz="4" w:space="0" w:color="FFFFFF" w:themeColor="background1"/>
            </w:tcBorders>
            <w:shd w:val="clear" w:color="auto" w:fill="385623" w:themeFill="accent6" w:themeFillShade="80"/>
          </w:tcPr>
          <w:p w:rsidR="0089468F" w:rsidRPr="002E47FE" w:rsidRDefault="0089468F" w:rsidP="0098103D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E47FE">
              <w:rPr>
                <w:b/>
                <w:color w:val="FFFFFF" w:themeColor="background1"/>
                <w:sz w:val="18"/>
              </w:rPr>
              <w:t>Produkcija 2017 (1 – 4 mėn)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385623" w:themeColor="accent6" w:themeShade="80"/>
              <w:right w:val="single" w:sz="4" w:space="0" w:color="FFFFFF" w:themeColor="background1"/>
            </w:tcBorders>
            <w:shd w:val="clear" w:color="auto" w:fill="385623" w:themeFill="accent6" w:themeFillShade="80"/>
          </w:tcPr>
          <w:p w:rsidR="0089468F" w:rsidRPr="002E47FE" w:rsidRDefault="0089468F" w:rsidP="0098103D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E47FE">
              <w:rPr>
                <w:b/>
                <w:color w:val="FFFFFF" w:themeColor="background1"/>
                <w:sz w:val="18"/>
              </w:rPr>
              <w:t>Produkcija 2016 (1 – 4 mėn)</w:t>
            </w:r>
          </w:p>
        </w:tc>
        <w:tc>
          <w:tcPr>
            <w:tcW w:w="1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385623" w:themeColor="accent6" w:themeShade="80"/>
              <w:right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:rsidR="0089468F" w:rsidRPr="002E47FE" w:rsidRDefault="0089468F" w:rsidP="0098103D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2E47FE">
              <w:rPr>
                <w:b/>
                <w:color w:val="FFFFFF" w:themeColor="background1"/>
                <w:sz w:val="18"/>
              </w:rPr>
              <w:t>Pokytis proc.</w:t>
            </w:r>
          </w:p>
        </w:tc>
      </w:tr>
      <w:tr w:rsidR="0089468F" w:rsidRPr="002E47FE" w:rsidTr="0098103D">
        <w:tc>
          <w:tcPr>
            <w:tcW w:w="2345" w:type="dxa"/>
            <w:tcBorders>
              <w:top w:val="single" w:sz="12" w:space="0" w:color="385623" w:themeColor="accent6" w:themeShade="80"/>
              <w:left w:val="nil"/>
            </w:tcBorders>
          </w:tcPr>
          <w:p w:rsidR="0089468F" w:rsidRPr="002E47FE" w:rsidRDefault="0089468F" w:rsidP="0098103D">
            <w:pPr>
              <w:rPr>
                <w:b/>
                <w:sz w:val="18"/>
                <w:szCs w:val="18"/>
              </w:rPr>
            </w:pPr>
            <w:r w:rsidRPr="002E47FE">
              <w:rPr>
                <w:b/>
                <w:sz w:val="18"/>
                <w:szCs w:val="18"/>
              </w:rPr>
              <w:t>Maisto pramonė</w:t>
            </w:r>
          </w:p>
        </w:tc>
        <w:tc>
          <w:tcPr>
            <w:tcW w:w="2895" w:type="dxa"/>
            <w:tcBorders>
              <w:top w:val="single" w:sz="12" w:space="0" w:color="385623" w:themeColor="accent6" w:themeShade="80"/>
            </w:tcBorders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1 040,5 mln. EUR</w:t>
            </w:r>
          </w:p>
        </w:tc>
        <w:tc>
          <w:tcPr>
            <w:tcW w:w="2410" w:type="dxa"/>
            <w:tcBorders>
              <w:top w:val="single" w:sz="12" w:space="0" w:color="385623" w:themeColor="accent6" w:themeShade="80"/>
            </w:tcBorders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1 047,4 mln. EUR</w:t>
            </w:r>
          </w:p>
        </w:tc>
        <w:tc>
          <w:tcPr>
            <w:tcW w:w="1366" w:type="dxa"/>
            <w:tcBorders>
              <w:top w:val="single" w:sz="12" w:space="0" w:color="385623" w:themeColor="accent6" w:themeShade="80"/>
              <w:right w:val="nil"/>
            </w:tcBorders>
          </w:tcPr>
          <w:p w:rsidR="0089468F" w:rsidRPr="002E47FE" w:rsidRDefault="0089468F" w:rsidP="0098103D">
            <w:pPr>
              <w:jc w:val="center"/>
              <w:rPr>
                <w:b/>
                <w:sz w:val="18"/>
                <w:szCs w:val="18"/>
              </w:rPr>
            </w:pPr>
            <w:r w:rsidRPr="002E47FE">
              <w:rPr>
                <w:b/>
                <w:color w:val="FF0000"/>
                <w:sz w:val="18"/>
                <w:szCs w:val="18"/>
              </w:rPr>
              <w:t>-0,7%</w:t>
            </w:r>
          </w:p>
        </w:tc>
      </w:tr>
      <w:tr w:rsidR="0089468F" w:rsidRPr="002E47FE" w:rsidTr="0098103D">
        <w:tc>
          <w:tcPr>
            <w:tcW w:w="2345" w:type="dxa"/>
            <w:tcBorders>
              <w:left w:val="nil"/>
            </w:tcBorders>
          </w:tcPr>
          <w:p w:rsidR="0089468F" w:rsidRPr="002E47FE" w:rsidRDefault="0089468F" w:rsidP="0098103D">
            <w:pPr>
              <w:rPr>
                <w:b/>
                <w:sz w:val="18"/>
                <w:szCs w:val="18"/>
              </w:rPr>
            </w:pPr>
            <w:r w:rsidRPr="002E47FE">
              <w:rPr>
                <w:b/>
                <w:sz w:val="18"/>
                <w:szCs w:val="18"/>
              </w:rPr>
              <w:t>Tekstilės pramonė</w:t>
            </w:r>
          </w:p>
        </w:tc>
        <w:tc>
          <w:tcPr>
            <w:tcW w:w="2895" w:type="dxa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313,4 mln. EUR</w:t>
            </w:r>
          </w:p>
        </w:tc>
        <w:tc>
          <w:tcPr>
            <w:tcW w:w="2410" w:type="dxa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307,6 mln. EUR</w:t>
            </w:r>
          </w:p>
        </w:tc>
        <w:tc>
          <w:tcPr>
            <w:tcW w:w="1366" w:type="dxa"/>
            <w:tcBorders>
              <w:right w:val="nil"/>
            </w:tcBorders>
          </w:tcPr>
          <w:p w:rsidR="0089468F" w:rsidRPr="002E47FE" w:rsidRDefault="0089468F" w:rsidP="0098103D">
            <w:pPr>
              <w:jc w:val="center"/>
              <w:rPr>
                <w:b/>
                <w:color w:val="70AD47" w:themeColor="accent6"/>
                <w:sz w:val="18"/>
                <w:szCs w:val="18"/>
              </w:rPr>
            </w:pPr>
            <w:r w:rsidRPr="002E47FE">
              <w:rPr>
                <w:b/>
                <w:color w:val="70AD47" w:themeColor="accent6"/>
                <w:sz w:val="18"/>
                <w:szCs w:val="18"/>
              </w:rPr>
              <w:t>+1,9%</w:t>
            </w:r>
          </w:p>
        </w:tc>
      </w:tr>
      <w:tr w:rsidR="0089468F" w:rsidRPr="002E47FE" w:rsidTr="0098103D">
        <w:tc>
          <w:tcPr>
            <w:tcW w:w="2345" w:type="dxa"/>
            <w:tcBorders>
              <w:left w:val="nil"/>
            </w:tcBorders>
          </w:tcPr>
          <w:p w:rsidR="0089468F" w:rsidRPr="002E47FE" w:rsidRDefault="0089468F" w:rsidP="0098103D">
            <w:pPr>
              <w:rPr>
                <w:b/>
                <w:sz w:val="18"/>
                <w:szCs w:val="18"/>
              </w:rPr>
            </w:pPr>
            <w:r w:rsidRPr="002E47FE">
              <w:rPr>
                <w:b/>
                <w:sz w:val="18"/>
                <w:szCs w:val="18"/>
              </w:rPr>
              <w:t>Medienos pramonė</w:t>
            </w:r>
          </w:p>
        </w:tc>
        <w:tc>
          <w:tcPr>
            <w:tcW w:w="2895" w:type="dxa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858,3 mln. EUR</w:t>
            </w:r>
          </w:p>
        </w:tc>
        <w:tc>
          <w:tcPr>
            <w:tcW w:w="2410" w:type="dxa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809,1 mln. EUR</w:t>
            </w:r>
          </w:p>
        </w:tc>
        <w:tc>
          <w:tcPr>
            <w:tcW w:w="1366" w:type="dxa"/>
            <w:tcBorders>
              <w:right w:val="nil"/>
            </w:tcBorders>
          </w:tcPr>
          <w:p w:rsidR="0089468F" w:rsidRPr="002E47FE" w:rsidRDefault="0089468F" w:rsidP="0098103D">
            <w:pPr>
              <w:jc w:val="center"/>
              <w:rPr>
                <w:b/>
                <w:color w:val="70AD47" w:themeColor="accent6"/>
                <w:sz w:val="18"/>
                <w:szCs w:val="18"/>
              </w:rPr>
            </w:pPr>
            <w:r w:rsidRPr="002E47FE">
              <w:rPr>
                <w:b/>
                <w:color w:val="70AD47" w:themeColor="accent6"/>
                <w:sz w:val="18"/>
                <w:szCs w:val="18"/>
              </w:rPr>
              <w:t>+6,1%</w:t>
            </w:r>
          </w:p>
        </w:tc>
      </w:tr>
      <w:tr w:rsidR="0089468F" w:rsidRPr="002E47FE" w:rsidTr="0098103D">
        <w:tc>
          <w:tcPr>
            <w:tcW w:w="2345" w:type="dxa"/>
            <w:tcBorders>
              <w:left w:val="nil"/>
            </w:tcBorders>
          </w:tcPr>
          <w:p w:rsidR="0089468F" w:rsidRPr="002E47FE" w:rsidRDefault="0089468F" w:rsidP="0098103D">
            <w:pPr>
              <w:rPr>
                <w:b/>
                <w:sz w:val="18"/>
                <w:szCs w:val="18"/>
              </w:rPr>
            </w:pPr>
            <w:r w:rsidRPr="002E47FE">
              <w:rPr>
                <w:b/>
                <w:sz w:val="18"/>
                <w:szCs w:val="18"/>
              </w:rPr>
              <w:t>Spaudos pramonė</w:t>
            </w:r>
          </w:p>
        </w:tc>
        <w:tc>
          <w:tcPr>
            <w:tcW w:w="2895" w:type="dxa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221,7 mln. EUR</w:t>
            </w:r>
          </w:p>
        </w:tc>
        <w:tc>
          <w:tcPr>
            <w:tcW w:w="2410" w:type="dxa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203,5 mln. EUR</w:t>
            </w:r>
          </w:p>
        </w:tc>
        <w:tc>
          <w:tcPr>
            <w:tcW w:w="1366" w:type="dxa"/>
            <w:tcBorders>
              <w:right w:val="nil"/>
            </w:tcBorders>
          </w:tcPr>
          <w:p w:rsidR="0089468F" w:rsidRPr="002E47FE" w:rsidRDefault="0089468F" w:rsidP="0098103D">
            <w:pPr>
              <w:jc w:val="center"/>
              <w:rPr>
                <w:b/>
                <w:color w:val="70AD47" w:themeColor="accent6"/>
                <w:sz w:val="18"/>
                <w:szCs w:val="18"/>
              </w:rPr>
            </w:pPr>
            <w:r w:rsidRPr="002E47FE">
              <w:rPr>
                <w:b/>
                <w:color w:val="70AD47" w:themeColor="accent6"/>
                <w:sz w:val="18"/>
                <w:szCs w:val="18"/>
              </w:rPr>
              <w:t>+8,9%</w:t>
            </w:r>
          </w:p>
        </w:tc>
      </w:tr>
      <w:tr w:rsidR="0089468F" w:rsidRPr="002E47FE" w:rsidTr="0098103D">
        <w:tc>
          <w:tcPr>
            <w:tcW w:w="2345" w:type="dxa"/>
            <w:tcBorders>
              <w:left w:val="nil"/>
            </w:tcBorders>
          </w:tcPr>
          <w:p w:rsidR="0089468F" w:rsidRPr="002E47FE" w:rsidRDefault="0089468F" w:rsidP="0098103D">
            <w:pPr>
              <w:rPr>
                <w:b/>
                <w:sz w:val="18"/>
                <w:szCs w:val="18"/>
              </w:rPr>
            </w:pPr>
            <w:r w:rsidRPr="002E47FE">
              <w:rPr>
                <w:b/>
                <w:sz w:val="18"/>
                <w:szCs w:val="18"/>
              </w:rPr>
              <w:t>Chemijos pramonė</w:t>
            </w:r>
          </w:p>
        </w:tc>
        <w:tc>
          <w:tcPr>
            <w:tcW w:w="2895" w:type="dxa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1 015,9  mln. EUR</w:t>
            </w:r>
          </w:p>
        </w:tc>
        <w:tc>
          <w:tcPr>
            <w:tcW w:w="2410" w:type="dxa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1 035,1 mln. EUR</w:t>
            </w:r>
          </w:p>
        </w:tc>
        <w:tc>
          <w:tcPr>
            <w:tcW w:w="1366" w:type="dxa"/>
            <w:tcBorders>
              <w:right w:val="nil"/>
            </w:tcBorders>
          </w:tcPr>
          <w:p w:rsidR="0089468F" w:rsidRPr="002E47FE" w:rsidRDefault="0089468F" w:rsidP="0098103D">
            <w:pPr>
              <w:jc w:val="center"/>
              <w:rPr>
                <w:b/>
                <w:sz w:val="18"/>
                <w:szCs w:val="18"/>
              </w:rPr>
            </w:pPr>
            <w:r w:rsidRPr="002E47FE">
              <w:rPr>
                <w:b/>
                <w:color w:val="FF0000"/>
                <w:sz w:val="18"/>
                <w:szCs w:val="18"/>
              </w:rPr>
              <w:t>-1,9%</w:t>
            </w:r>
          </w:p>
        </w:tc>
      </w:tr>
      <w:tr w:rsidR="0089468F" w:rsidRPr="002E47FE" w:rsidTr="0098103D">
        <w:tc>
          <w:tcPr>
            <w:tcW w:w="2345" w:type="dxa"/>
            <w:tcBorders>
              <w:left w:val="nil"/>
            </w:tcBorders>
          </w:tcPr>
          <w:p w:rsidR="0089468F" w:rsidRPr="002E47FE" w:rsidRDefault="0089468F" w:rsidP="0098103D">
            <w:pPr>
              <w:rPr>
                <w:b/>
                <w:sz w:val="18"/>
                <w:szCs w:val="18"/>
              </w:rPr>
            </w:pPr>
            <w:r w:rsidRPr="002E47FE">
              <w:rPr>
                <w:b/>
                <w:sz w:val="18"/>
                <w:szCs w:val="18"/>
              </w:rPr>
              <w:t>Metalų, mašinų ir įrenginių pramonė</w:t>
            </w:r>
          </w:p>
        </w:tc>
        <w:tc>
          <w:tcPr>
            <w:tcW w:w="2895" w:type="dxa"/>
            <w:vAlign w:val="center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928,1 mln. EUR</w:t>
            </w:r>
          </w:p>
        </w:tc>
        <w:tc>
          <w:tcPr>
            <w:tcW w:w="2410" w:type="dxa"/>
            <w:vAlign w:val="center"/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747,3 mln. EUR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:rsidR="0089468F" w:rsidRPr="002E47FE" w:rsidRDefault="0089468F" w:rsidP="0098103D">
            <w:pPr>
              <w:jc w:val="center"/>
              <w:rPr>
                <w:b/>
                <w:color w:val="70AD47" w:themeColor="accent6"/>
                <w:sz w:val="18"/>
                <w:szCs w:val="18"/>
              </w:rPr>
            </w:pPr>
            <w:r w:rsidRPr="002E47FE">
              <w:rPr>
                <w:b/>
                <w:color w:val="70AD47" w:themeColor="accent6"/>
                <w:sz w:val="18"/>
                <w:szCs w:val="18"/>
              </w:rPr>
              <w:t>+24,7%</w:t>
            </w:r>
          </w:p>
        </w:tc>
      </w:tr>
      <w:tr w:rsidR="0089468F" w:rsidRPr="002E47FE" w:rsidTr="0098103D">
        <w:tc>
          <w:tcPr>
            <w:tcW w:w="2345" w:type="dxa"/>
            <w:tcBorders>
              <w:left w:val="nil"/>
              <w:bottom w:val="single" w:sz="12" w:space="0" w:color="385623" w:themeColor="accent6" w:themeShade="80"/>
            </w:tcBorders>
          </w:tcPr>
          <w:p w:rsidR="0089468F" w:rsidRPr="002E47FE" w:rsidRDefault="0089468F" w:rsidP="0098103D">
            <w:pPr>
              <w:rPr>
                <w:b/>
                <w:sz w:val="18"/>
                <w:szCs w:val="18"/>
              </w:rPr>
            </w:pPr>
            <w:r w:rsidRPr="002E47FE">
              <w:rPr>
                <w:b/>
                <w:sz w:val="18"/>
                <w:szCs w:val="18"/>
              </w:rPr>
              <w:t>Elektronikos pramonė</w:t>
            </w:r>
          </w:p>
        </w:tc>
        <w:tc>
          <w:tcPr>
            <w:tcW w:w="2895" w:type="dxa"/>
            <w:tcBorders>
              <w:bottom w:val="single" w:sz="12" w:space="0" w:color="385623" w:themeColor="accent6" w:themeShade="80"/>
            </w:tcBorders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118,3 mln. EUR</w:t>
            </w:r>
          </w:p>
        </w:tc>
        <w:tc>
          <w:tcPr>
            <w:tcW w:w="2410" w:type="dxa"/>
            <w:tcBorders>
              <w:bottom w:val="single" w:sz="12" w:space="0" w:color="385623" w:themeColor="accent6" w:themeShade="80"/>
            </w:tcBorders>
          </w:tcPr>
          <w:p w:rsidR="0089468F" w:rsidRPr="002E47FE" w:rsidRDefault="0089468F" w:rsidP="0098103D">
            <w:pPr>
              <w:jc w:val="center"/>
              <w:rPr>
                <w:sz w:val="18"/>
                <w:szCs w:val="18"/>
              </w:rPr>
            </w:pPr>
            <w:r w:rsidRPr="002E47FE">
              <w:rPr>
                <w:sz w:val="18"/>
                <w:szCs w:val="18"/>
              </w:rPr>
              <w:t>101,6 mln. EUR</w:t>
            </w:r>
          </w:p>
        </w:tc>
        <w:tc>
          <w:tcPr>
            <w:tcW w:w="1366" w:type="dxa"/>
            <w:tcBorders>
              <w:bottom w:val="single" w:sz="12" w:space="0" w:color="385623" w:themeColor="accent6" w:themeShade="80"/>
              <w:right w:val="nil"/>
            </w:tcBorders>
          </w:tcPr>
          <w:p w:rsidR="0089468F" w:rsidRPr="002E47FE" w:rsidRDefault="0089468F" w:rsidP="0098103D">
            <w:pPr>
              <w:jc w:val="center"/>
              <w:rPr>
                <w:b/>
                <w:color w:val="70AD47" w:themeColor="accent6"/>
                <w:sz w:val="18"/>
                <w:szCs w:val="18"/>
              </w:rPr>
            </w:pPr>
            <w:r w:rsidRPr="002E47FE">
              <w:rPr>
                <w:b/>
                <w:color w:val="70AD47" w:themeColor="accent6"/>
                <w:sz w:val="18"/>
                <w:szCs w:val="18"/>
              </w:rPr>
              <w:t>+16,4%</w:t>
            </w:r>
          </w:p>
        </w:tc>
      </w:tr>
    </w:tbl>
    <w:p w:rsidR="0089468F" w:rsidRPr="00BD5B63" w:rsidRDefault="0089468F" w:rsidP="0089468F">
      <w:pPr>
        <w:jc w:val="both"/>
        <w:rPr>
          <w:rFonts w:ascii="Segoe Pro" w:hAnsi="Segoe Pro"/>
          <w:sz w:val="20"/>
          <w:szCs w:val="20"/>
        </w:rPr>
      </w:pPr>
      <w:r w:rsidRPr="00BD5B63">
        <w:rPr>
          <w:rFonts w:ascii="Segoe Pro" w:hAnsi="Segoe Pro"/>
          <w:sz w:val="20"/>
          <w:szCs w:val="20"/>
        </w:rPr>
        <w:t>Lietuvos pramonininkų konfederacijos (LPK) antrojo šių metų ketvirčio lūkesčių indekso duomenimis, p</w:t>
      </w:r>
      <w:r w:rsidRPr="00BD5B63">
        <w:rPr>
          <w:rStyle w:val="Strong"/>
          <w:rFonts w:ascii="Segoe Pro" w:hAnsi="Segoe Pro" w:cs="Arial"/>
          <w:b w:val="0"/>
          <w:sz w:val="20"/>
          <w:szCs w:val="20"/>
          <w:shd w:val="clear" w:color="auto" w:fill="FFFFFF"/>
        </w:rPr>
        <w:t>lėtros tikimasi visuose pagrindiniuose apdirbamosios pramonės sektoriuose.</w:t>
      </w:r>
      <w:r w:rsidRPr="00BD5B63">
        <w:rPr>
          <w:rStyle w:val="apple-converted-space"/>
          <w:rFonts w:ascii="Segoe Pro" w:hAnsi="Segoe Pro" w:cs="Arial"/>
          <w:b/>
          <w:bCs/>
          <w:color w:val="444444"/>
          <w:sz w:val="20"/>
          <w:szCs w:val="20"/>
          <w:shd w:val="clear" w:color="auto" w:fill="FFFFFF"/>
        </w:rPr>
        <w:t> </w:t>
      </w:r>
      <w:r w:rsidRPr="00BD5B63">
        <w:rPr>
          <w:rFonts w:ascii="Segoe Pro" w:hAnsi="Segoe Pro"/>
          <w:sz w:val="20"/>
          <w:szCs w:val="20"/>
        </w:rPr>
        <w:t xml:space="preserve"> </w:t>
      </w:r>
      <w:r w:rsidRPr="00BD5B63">
        <w:rPr>
          <w:rFonts w:ascii="Segoe Pro" w:hAnsi="Segoe Pro" w:cs="Arial"/>
          <w:sz w:val="20"/>
          <w:szCs w:val="20"/>
          <w:shd w:val="clear" w:color="auto" w:fill="FFFFFF"/>
        </w:rPr>
        <w:t>Daugiau nei 60 proc. visų apklausoje dalyvavusių pramonės įmonių vadovų tikisi padidinti pagaminamos produkcijos kiekį, o dar beveik 28 proc. išlaikyti tokį patį lygį kaip ir anksčiau. Jų teigimu, tikėtis tokių rezultatų pirmiausia leidžia didesnis stabilumas užsienio rinkose.</w:t>
      </w:r>
      <w:r w:rsidRPr="00BD5B63">
        <w:rPr>
          <w:rFonts w:ascii="Segoe Pro" w:hAnsi="Segoe Pro"/>
          <w:sz w:val="20"/>
          <w:szCs w:val="20"/>
        </w:rPr>
        <w:t xml:space="preserve"> </w:t>
      </w:r>
    </w:p>
    <w:p w:rsidR="0089468F" w:rsidRPr="00BD5B63" w:rsidRDefault="0089468F" w:rsidP="0089468F">
      <w:pPr>
        <w:jc w:val="both"/>
        <w:rPr>
          <w:rFonts w:ascii="Segoe Pro" w:hAnsi="Segoe Pro"/>
          <w:sz w:val="20"/>
          <w:szCs w:val="20"/>
        </w:rPr>
      </w:pPr>
      <w:r w:rsidRPr="00BD5B63">
        <w:rPr>
          <w:rFonts w:ascii="Segoe Pro" w:hAnsi="Segoe Pro"/>
          <w:sz w:val="20"/>
          <w:szCs w:val="20"/>
        </w:rPr>
        <w:t xml:space="preserve">Augant pagaminamos produkcijos apimtims, </w:t>
      </w:r>
      <w:r w:rsidR="00CE1E7A" w:rsidRPr="00BD5B63">
        <w:rPr>
          <w:rFonts w:ascii="Segoe Pro" w:hAnsi="Segoe Pro"/>
          <w:sz w:val="20"/>
          <w:szCs w:val="20"/>
        </w:rPr>
        <w:t xml:space="preserve">kyla </w:t>
      </w:r>
      <w:r w:rsidRPr="00BD5B63">
        <w:rPr>
          <w:rFonts w:ascii="Segoe Pro" w:hAnsi="Segoe Pro"/>
          <w:sz w:val="20"/>
          <w:szCs w:val="20"/>
        </w:rPr>
        <w:t>ir apdirbamosios pramonės gamybinių pajėgumų panaudojimo lygi</w:t>
      </w:r>
      <w:r w:rsidR="00CE1E7A" w:rsidRPr="00BD5B63">
        <w:rPr>
          <w:rFonts w:ascii="Segoe Pro" w:hAnsi="Segoe Pro"/>
          <w:sz w:val="20"/>
          <w:szCs w:val="20"/>
        </w:rPr>
        <w:t>s</w:t>
      </w:r>
      <w:r w:rsidRPr="00BD5B63">
        <w:rPr>
          <w:rFonts w:ascii="Segoe Pro" w:hAnsi="Segoe Pro"/>
          <w:sz w:val="20"/>
          <w:szCs w:val="20"/>
        </w:rPr>
        <w:t xml:space="preserve">. Šių metų balandžio mėnesį apdirbamosios pramonės įrenginių išnaudojimo lygis pasiekė </w:t>
      </w:r>
      <w:r w:rsidRPr="00BD5B63">
        <w:rPr>
          <w:rFonts w:ascii="Segoe Pro" w:hAnsi="Segoe Pro"/>
          <w:sz w:val="20"/>
          <w:szCs w:val="20"/>
        </w:rPr>
        <w:lastRenderedPageBreak/>
        <w:t>rekordines aukštumas ir pakilo iki 77,1 proc. – tai aukščiausias rodiklis per visą istoriją ir 1,3 procentinio punkto daugiau nei tuo pačiu metu praėjusiais metais.</w:t>
      </w:r>
    </w:p>
    <w:p w:rsidR="0089468F" w:rsidRPr="002E47FE" w:rsidRDefault="0089468F" w:rsidP="0089468F">
      <w:pPr>
        <w:rPr>
          <w:b/>
          <w:sz w:val="21"/>
          <w:szCs w:val="21"/>
        </w:rPr>
      </w:pPr>
      <w:r w:rsidRPr="002E47FE">
        <w:rPr>
          <w:b/>
          <w:sz w:val="21"/>
          <w:szCs w:val="21"/>
        </w:rPr>
        <w:t>GAMYBINIŲ PAJĖGUMŲ PANAUDOJIMO LYGIS | PROC.</w:t>
      </w:r>
    </w:p>
    <w:p w:rsidR="0089468F" w:rsidRPr="002E47FE" w:rsidRDefault="0089468F" w:rsidP="0089468F">
      <w:pPr>
        <w:rPr>
          <w:sz w:val="32"/>
        </w:rPr>
      </w:pPr>
      <w:r w:rsidRPr="002E47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64EA" wp14:editId="2F726FB4">
                <wp:simplePos x="0" y="0"/>
                <wp:positionH relativeFrom="margin">
                  <wp:posOffset>0</wp:posOffset>
                </wp:positionH>
                <wp:positionV relativeFrom="paragraph">
                  <wp:posOffset>40904</wp:posOffset>
                </wp:positionV>
                <wp:extent cx="5795645" cy="0"/>
                <wp:effectExtent l="0" t="0" r="0" b="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D2E12" id="Tiesioji jungtis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2pt" to="456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9468F" w:rsidRPr="002E47FE" w:rsidRDefault="0089468F" w:rsidP="0089468F">
      <w:pPr>
        <w:rPr>
          <w:sz w:val="32"/>
        </w:rPr>
      </w:pPr>
      <w:r w:rsidRPr="002E47FE">
        <w:rPr>
          <w:noProof/>
          <w:sz w:val="32"/>
        </w:rPr>
        <w:drawing>
          <wp:inline distT="0" distB="0" distL="0" distR="0" wp14:anchorId="54340842" wp14:editId="6B2DAAD5">
            <wp:extent cx="5649595" cy="1667809"/>
            <wp:effectExtent l="0" t="0" r="8255" b="889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468F" w:rsidRPr="00BD5B63" w:rsidRDefault="0089468F" w:rsidP="0089468F">
      <w:pPr>
        <w:jc w:val="both"/>
        <w:rPr>
          <w:rFonts w:ascii="Segoe Pro" w:hAnsi="Segoe Pro"/>
          <w:sz w:val="20"/>
          <w:szCs w:val="20"/>
          <w:lang w:val="en-US"/>
        </w:rPr>
      </w:pPr>
      <w:r w:rsidRPr="00BD5B63">
        <w:rPr>
          <w:rFonts w:ascii="Segoe Pro" w:hAnsi="Segoe Pro"/>
          <w:sz w:val="20"/>
          <w:szCs w:val="20"/>
        </w:rPr>
        <w:t xml:space="preserve">Aukščiausią gamybinių pajėgumų panaudojimo lygį demonstruoja chemikalų ir chemijos produktų bei baldų gamyba. Įrenginių apkrovimas šiuose sektoriuose viršija 80 proc. Kiti sektoriai taip pat atskleidžia didesnių investicijų į modernizaciją poreikį. Daugelyje apdirbamosios pramonės sektorių: drabužių, metalų, plastikų, tekstilės bei medienos gamybos įrenginių užimtumas jau viršija </w:t>
      </w:r>
      <w:r w:rsidRPr="00BD5B63">
        <w:rPr>
          <w:rFonts w:ascii="Segoe Pro" w:hAnsi="Segoe Pro"/>
          <w:sz w:val="20"/>
          <w:szCs w:val="20"/>
          <w:lang w:val="en-US"/>
        </w:rPr>
        <w:t xml:space="preserve">75 proc. </w:t>
      </w:r>
      <w:proofErr w:type="spellStart"/>
      <w:r w:rsidRPr="00BD5B63">
        <w:rPr>
          <w:rFonts w:ascii="Segoe Pro" w:hAnsi="Segoe Pro"/>
          <w:sz w:val="20"/>
          <w:szCs w:val="20"/>
          <w:lang w:val="en-US"/>
        </w:rPr>
        <w:t>ir</w:t>
      </w:r>
      <w:proofErr w:type="spellEnd"/>
      <w:r w:rsidRPr="00BD5B63">
        <w:rPr>
          <w:rFonts w:ascii="Segoe Pro" w:hAnsi="Segoe Pro"/>
          <w:sz w:val="20"/>
          <w:szCs w:val="20"/>
          <w:lang w:val="en-US"/>
        </w:rPr>
        <w:t xml:space="preserve"> art</w:t>
      </w:r>
      <w:r w:rsidRPr="00BD5B63">
        <w:rPr>
          <w:rFonts w:ascii="Segoe Pro" w:hAnsi="Segoe Pro"/>
          <w:sz w:val="20"/>
          <w:szCs w:val="20"/>
        </w:rPr>
        <w:t xml:space="preserve">ėja prie </w:t>
      </w:r>
      <w:r w:rsidRPr="00BD5B63">
        <w:rPr>
          <w:rFonts w:ascii="Segoe Pro" w:hAnsi="Segoe Pro"/>
          <w:sz w:val="20"/>
          <w:szCs w:val="20"/>
          <w:lang w:val="en-US"/>
        </w:rPr>
        <w:t xml:space="preserve">80 proc. </w:t>
      </w:r>
      <w:proofErr w:type="spellStart"/>
      <w:r w:rsidRPr="00BD5B63">
        <w:rPr>
          <w:rFonts w:ascii="Segoe Pro" w:hAnsi="Segoe Pro"/>
          <w:sz w:val="20"/>
          <w:szCs w:val="20"/>
          <w:lang w:val="en-US"/>
        </w:rPr>
        <w:t>ribos</w:t>
      </w:r>
      <w:proofErr w:type="spellEnd"/>
      <w:r w:rsidRPr="00BD5B63">
        <w:rPr>
          <w:rFonts w:ascii="Segoe Pro" w:hAnsi="Segoe Pro"/>
          <w:sz w:val="20"/>
          <w:szCs w:val="20"/>
          <w:lang w:val="en-US"/>
        </w:rPr>
        <w:t>.</w:t>
      </w:r>
    </w:p>
    <w:p w:rsidR="0089468F" w:rsidRPr="00C421EE" w:rsidRDefault="0089468F" w:rsidP="0089468F">
      <w:pPr>
        <w:rPr>
          <w:b/>
          <w:sz w:val="21"/>
          <w:szCs w:val="21"/>
        </w:rPr>
      </w:pPr>
      <w:r w:rsidRPr="002E47FE">
        <w:rPr>
          <w:b/>
          <w:sz w:val="21"/>
          <w:szCs w:val="21"/>
        </w:rPr>
        <w:t>GAMYBINIŲ PAJĖGUMŲ PANAUDOJIMO LYGIS | PROC.</w:t>
      </w:r>
    </w:p>
    <w:p w:rsidR="0089468F" w:rsidRPr="008067B2" w:rsidRDefault="0089468F" w:rsidP="0089468F">
      <w:pPr>
        <w:jc w:val="both"/>
        <w:rPr>
          <w:sz w:val="24"/>
          <w:lang w:val="en-US"/>
        </w:rPr>
      </w:pPr>
      <w:r w:rsidRPr="002E47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FABEF" wp14:editId="5873C1B8">
                <wp:simplePos x="0" y="0"/>
                <wp:positionH relativeFrom="margin">
                  <wp:posOffset>0</wp:posOffset>
                </wp:positionH>
                <wp:positionV relativeFrom="paragraph">
                  <wp:posOffset>63310</wp:posOffset>
                </wp:positionV>
                <wp:extent cx="5795645" cy="0"/>
                <wp:effectExtent l="0" t="0" r="0" b="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E2E28" id="Tiesioji jungtis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pt" to="45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9468F" w:rsidRPr="002E47FE" w:rsidRDefault="0089468F" w:rsidP="0089468F">
      <w:pPr>
        <w:jc w:val="both"/>
        <w:rPr>
          <w:sz w:val="24"/>
        </w:rPr>
      </w:pPr>
      <w:r w:rsidRPr="002E47FE">
        <w:rPr>
          <w:noProof/>
        </w:rPr>
        <w:drawing>
          <wp:inline distT="0" distB="0" distL="0" distR="0" wp14:anchorId="6BDB9E23" wp14:editId="634E8CF0">
            <wp:extent cx="5419090" cy="3040380"/>
            <wp:effectExtent l="0" t="0" r="0" b="7620"/>
            <wp:docPr id="10" name="Diagrama 10">
              <a:extLst xmlns:a="http://schemas.openxmlformats.org/drawingml/2006/main">
                <a:ext uri="{FF2B5EF4-FFF2-40B4-BE49-F238E27FC236}">
                  <a16:creationId xmlns:a16="http://schemas.microsoft.com/office/drawing/2014/main" id="{FCD8F45C-6DFA-4CAE-97DD-63869A1FCD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468F" w:rsidRPr="00BD5B63" w:rsidRDefault="0089468F" w:rsidP="0089468F">
      <w:pPr>
        <w:jc w:val="both"/>
        <w:rPr>
          <w:rFonts w:ascii="Segoe Pro" w:hAnsi="Segoe Pro"/>
          <w:sz w:val="20"/>
          <w:szCs w:val="20"/>
        </w:rPr>
      </w:pPr>
      <w:r w:rsidRPr="00BD5B63">
        <w:rPr>
          <w:rFonts w:ascii="Segoe Pro" w:hAnsi="Segoe Pro"/>
          <w:sz w:val="20"/>
          <w:szCs w:val="20"/>
        </w:rPr>
        <w:t>Lietuvos pramonininkų konfederacijos kas ketvirtį atliekamos apdirbamosios pramonės įmonių vadovų apklausos rodo, kad viena pagrindinių priežasčių,  kodėl įmonės delsia investuoti į gamybinių įrenginių atnaujinimą – bandymas maksimaliai išnaudoti turimus gamybos pajėgumus.</w:t>
      </w:r>
    </w:p>
    <w:p w:rsidR="0089468F" w:rsidRDefault="0089468F" w:rsidP="00BD5B63">
      <w:pPr>
        <w:jc w:val="both"/>
        <w:rPr>
          <w:rFonts w:ascii="Segoe Pro" w:hAnsi="Segoe Pro"/>
          <w:b/>
        </w:rPr>
      </w:pPr>
      <w:r w:rsidRPr="00BD5B63">
        <w:rPr>
          <w:rFonts w:ascii="Segoe Pro" w:hAnsi="Segoe Pro"/>
          <w:sz w:val="20"/>
          <w:szCs w:val="20"/>
        </w:rPr>
        <w:t>Sparčiai kylant įrenginių panaudojimo lygiui, augančių atlyginimų kontekste įmonės bus priverstos investuoti į darbo našumą. LPK duomenimis,  antrąjį šių metų ketvirtį daugiau nei 47 proc. įmonių vadovų ketina didinti investicijas ir didžiausia dalis investicijų bus nukreipta į įmonių modernizaciją ir gamybinių pajėgumų didinimą.</w:t>
      </w:r>
      <w:r w:rsidR="00BD5B63">
        <w:rPr>
          <w:rFonts w:ascii="Segoe Pro" w:hAnsi="Segoe Pro"/>
          <w:sz w:val="20"/>
          <w:szCs w:val="20"/>
        </w:rPr>
        <w:t xml:space="preserve"> </w:t>
      </w:r>
      <w:bookmarkStart w:id="1" w:name="_GoBack"/>
      <w:bookmarkEnd w:id="1"/>
    </w:p>
    <w:sectPr w:rsidR="0089468F" w:rsidSect="00E41538">
      <w:headerReference w:type="default" r:id="rId10"/>
      <w:footerReference w:type="default" r:id="rId11"/>
      <w:pgSz w:w="11906" w:h="16838"/>
      <w:pgMar w:top="851" w:right="1133" w:bottom="1135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4E" w:rsidRDefault="00754D4E">
      <w:pPr>
        <w:spacing w:after="0" w:line="240" w:lineRule="auto"/>
      </w:pPr>
      <w:r>
        <w:separator/>
      </w:r>
    </w:p>
  </w:endnote>
  <w:endnote w:type="continuationSeparator" w:id="0">
    <w:p w:rsidR="00754D4E" w:rsidRDefault="0075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72" w:rsidRPr="001341C4" w:rsidRDefault="003C4C56" w:rsidP="001341C4">
    <w:pPr>
      <w:spacing w:after="0" w:line="240" w:lineRule="auto"/>
      <w:jc w:val="both"/>
      <w:rPr>
        <w:color w:val="000000"/>
      </w:rPr>
    </w:pPr>
    <w:r w:rsidRPr="00042EB9">
      <w:rPr>
        <w:b/>
        <w:iCs/>
        <w:sz w:val="18"/>
        <w:szCs w:val="18"/>
      </w:rPr>
      <w:t>Lietuvos pramonininkų konfederacija (LPK)</w:t>
    </w:r>
    <w:r w:rsidRPr="00875484">
      <w:rPr>
        <w:iCs/>
        <w:sz w:val="18"/>
        <w:szCs w:val="18"/>
      </w:rPr>
      <w:t xml:space="preserve"> </w:t>
    </w:r>
    <w:r>
      <w:rPr>
        <w:iCs/>
        <w:sz w:val="18"/>
        <w:szCs w:val="18"/>
      </w:rPr>
      <w:t>–</w:t>
    </w:r>
    <w:r w:rsidRPr="00875484">
      <w:rPr>
        <w:iCs/>
        <w:sz w:val="18"/>
        <w:szCs w:val="18"/>
      </w:rPr>
      <w:t xml:space="preserve"> skėtinė vers</w:t>
    </w:r>
    <w:r>
      <w:rPr>
        <w:iCs/>
        <w:sz w:val="18"/>
        <w:szCs w:val="18"/>
      </w:rPr>
      <w:t>l</w:t>
    </w:r>
    <w:r w:rsidRPr="00875484">
      <w:rPr>
        <w:iCs/>
        <w:sz w:val="18"/>
        <w:szCs w:val="18"/>
      </w:rPr>
      <w:t>o asociacija</w:t>
    </w:r>
    <w:r w:rsidR="006D5446">
      <w:rPr>
        <w:iCs/>
        <w:sz w:val="18"/>
        <w:szCs w:val="18"/>
      </w:rPr>
      <w:t>, vienijanti 49</w:t>
    </w:r>
    <w:r w:rsidR="006454BD">
      <w:rPr>
        <w:iCs/>
        <w:sz w:val="18"/>
        <w:szCs w:val="18"/>
      </w:rPr>
      <w:t xml:space="preserve"> šakin</w:t>
    </w:r>
    <w:r w:rsidR="006D5446">
      <w:rPr>
        <w:iCs/>
        <w:sz w:val="18"/>
        <w:szCs w:val="18"/>
      </w:rPr>
      <w:t>es</w:t>
    </w:r>
    <w:r>
      <w:rPr>
        <w:iCs/>
        <w:sz w:val="18"/>
        <w:szCs w:val="18"/>
      </w:rPr>
      <w:t xml:space="preserve"> ir 7</w:t>
    </w:r>
    <w:r w:rsidRPr="00875484">
      <w:rPr>
        <w:iCs/>
        <w:sz w:val="18"/>
        <w:szCs w:val="18"/>
      </w:rPr>
      <w:t xml:space="preserve"> regionines asociacijas visose </w:t>
    </w:r>
    <w:r>
      <w:rPr>
        <w:iCs/>
        <w:sz w:val="18"/>
        <w:szCs w:val="18"/>
      </w:rPr>
      <w:t>l</w:t>
    </w:r>
    <w:r w:rsidRPr="00875484">
      <w:rPr>
        <w:iCs/>
        <w:sz w:val="18"/>
        <w:szCs w:val="18"/>
      </w:rPr>
      <w:t>ietuvišką produkciją gaminančiose pagrindinėse pramonės šakose. Konfederacijai priklauso ne tik dauguma Lietuvos gamybos įmonių, bet ir moksliniai tiriamieji institutai, mokymo įstaigos.</w:t>
    </w:r>
    <w:r>
      <w:rPr>
        <w:iCs/>
        <w:sz w:val="18"/>
        <w:szCs w:val="18"/>
      </w:rPr>
      <w:t xml:space="preserve"> LPK</w:t>
    </w:r>
    <w:r w:rsidRPr="00875484">
      <w:rPr>
        <w:iCs/>
        <w:sz w:val="18"/>
        <w:szCs w:val="18"/>
      </w:rPr>
      <w:t xml:space="preserve"> yra nepriklausoma, nepolitinė, skaidriai verslo interesus Lietuvoje atstovaujanti organizacija.</w:t>
    </w:r>
    <w:r w:rsidRPr="005B6EC4">
      <w:rPr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4E" w:rsidRDefault="00754D4E">
      <w:pPr>
        <w:spacing w:after="0" w:line="240" w:lineRule="auto"/>
      </w:pPr>
      <w:r>
        <w:separator/>
      </w:r>
    </w:p>
  </w:footnote>
  <w:footnote w:type="continuationSeparator" w:id="0">
    <w:p w:rsidR="00754D4E" w:rsidRDefault="0075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01" w:rsidRPr="00B65753" w:rsidRDefault="003C4C56" w:rsidP="002A6601">
    <w:pPr>
      <w:ind w:left="-567" w:firstLine="567"/>
      <w:rPr>
        <w:sz w:val="24"/>
        <w:szCs w:val="24"/>
      </w:rPr>
    </w:pPr>
    <w:r w:rsidRPr="00B65753">
      <w:rPr>
        <w:noProof/>
        <w:sz w:val="24"/>
        <w:szCs w:val="24"/>
        <w:lang w:val="en-US"/>
      </w:rPr>
      <w:drawing>
        <wp:inline distT="0" distB="0" distL="0" distR="0" wp14:anchorId="2EFFB5D6" wp14:editId="22EF8CE3">
          <wp:extent cx="1733550" cy="688858"/>
          <wp:effectExtent l="0" t="0" r="0" b="0"/>
          <wp:docPr id="3" name="Picture 3" descr="C:\Users\LPK\Documents\logoblankai\LPK logo_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K\Documents\logoblankai\LPK logo_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502" cy="69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F05" w:rsidRPr="00B65753" w:rsidRDefault="0037764E" w:rsidP="00042EB9">
    <w:pPr>
      <w:spacing w:after="0" w:line="240" w:lineRule="auto"/>
      <w:rPr>
        <w:rFonts w:ascii="Segoe Pro" w:hAnsi="Segoe Pro"/>
        <w:sz w:val="28"/>
        <w:szCs w:val="28"/>
      </w:rPr>
    </w:pPr>
    <w:r>
      <w:rPr>
        <w:rFonts w:ascii="Segoe Pro" w:hAnsi="Segoe Pro"/>
        <w:sz w:val="28"/>
        <w:szCs w:val="28"/>
      </w:rPr>
      <w:t>Pranešimas</w:t>
    </w:r>
    <w:r w:rsidR="003C4C56">
      <w:rPr>
        <w:rFonts w:ascii="Segoe Pro" w:hAnsi="Segoe Pro"/>
        <w:sz w:val="28"/>
        <w:szCs w:val="28"/>
      </w:rPr>
      <w:t xml:space="preserve"> </w:t>
    </w:r>
    <w:r w:rsidR="003C4C56" w:rsidRPr="00B65753">
      <w:rPr>
        <w:rFonts w:ascii="Segoe Pro" w:hAnsi="Segoe Pro"/>
        <w:sz w:val="28"/>
        <w:szCs w:val="28"/>
      </w:rPr>
      <w:t>žiniasklaidai</w:t>
    </w:r>
  </w:p>
  <w:p w:rsidR="002A6601" w:rsidRPr="00C070D4" w:rsidRDefault="003C4C56" w:rsidP="00042EB9">
    <w:pPr>
      <w:spacing w:after="0" w:line="240" w:lineRule="auto"/>
      <w:rPr>
        <w:rFonts w:ascii="Segoe Pro" w:hAnsi="Segoe Pro"/>
        <w:szCs w:val="28"/>
      </w:rPr>
    </w:pPr>
    <w:r w:rsidRPr="00C070D4">
      <w:rPr>
        <w:rFonts w:ascii="Segoe Pro" w:hAnsi="Segoe Pro"/>
        <w:szCs w:val="28"/>
      </w:rPr>
      <w:t>Vilnius, 201</w:t>
    </w:r>
    <w:r w:rsidR="0037764E">
      <w:rPr>
        <w:rFonts w:ascii="Segoe Pro" w:hAnsi="Segoe Pro"/>
        <w:szCs w:val="28"/>
      </w:rPr>
      <w:t>7</w:t>
    </w:r>
    <w:r w:rsidRPr="00C070D4">
      <w:rPr>
        <w:rFonts w:ascii="Segoe Pro" w:hAnsi="Segoe Pro"/>
        <w:szCs w:val="28"/>
      </w:rPr>
      <w:t xml:space="preserve"> m. </w:t>
    </w:r>
    <w:r w:rsidR="00F67543">
      <w:rPr>
        <w:rFonts w:ascii="Segoe Pro" w:hAnsi="Segoe Pro"/>
        <w:szCs w:val="28"/>
      </w:rPr>
      <w:t xml:space="preserve">birželio </w:t>
    </w:r>
    <w:r w:rsidR="0089468F">
      <w:rPr>
        <w:rFonts w:ascii="Segoe Pro" w:hAnsi="Segoe Pro"/>
        <w:szCs w:val="28"/>
      </w:rPr>
      <w:t>9</w:t>
    </w:r>
    <w:r w:rsidR="00F67543">
      <w:rPr>
        <w:rFonts w:ascii="Segoe Pro" w:hAnsi="Segoe Pro"/>
        <w:szCs w:val="28"/>
      </w:rPr>
      <w:t xml:space="preserve"> </w:t>
    </w:r>
    <w:r w:rsidRPr="00C070D4">
      <w:rPr>
        <w:rFonts w:ascii="Segoe Pro" w:hAnsi="Segoe Pro"/>
        <w:szCs w:val="28"/>
      </w:rPr>
      <w:t>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3F1"/>
    <w:multiLevelType w:val="multilevel"/>
    <w:tmpl w:val="B99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7149B9"/>
    <w:multiLevelType w:val="hybridMultilevel"/>
    <w:tmpl w:val="2A3EE27E"/>
    <w:lvl w:ilvl="0" w:tplc="F8A0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6707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E5E5A"/>
    <w:multiLevelType w:val="hybridMultilevel"/>
    <w:tmpl w:val="B83EC6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56"/>
    <w:rsid w:val="000173C8"/>
    <w:rsid w:val="00021CE0"/>
    <w:rsid w:val="00067E51"/>
    <w:rsid w:val="00071D95"/>
    <w:rsid w:val="000763CD"/>
    <w:rsid w:val="00081C94"/>
    <w:rsid w:val="000831EF"/>
    <w:rsid w:val="000B1DA8"/>
    <w:rsid w:val="000C6F2E"/>
    <w:rsid w:val="000E23D6"/>
    <w:rsid w:val="000F1C69"/>
    <w:rsid w:val="000F6685"/>
    <w:rsid w:val="001144AF"/>
    <w:rsid w:val="00116735"/>
    <w:rsid w:val="001332FE"/>
    <w:rsid w:val="001341C4"/>
    <w:rsid w:val="00134D0C"/>
    <w:rsid w:val="00142578"/>
    <w:rsid w:val="0015076B"/>
    <w:rsid w:val="00151F3A"/>
    <w:rsid w:val="001755BE"/>
    <w:rsid w:val="0018659E"/>
    <w:rsid w:val="00192E33"/>
    <w:rsid w:val="001A0AF3"/>
    <w:rsid w:val="001B1D54"/>
    <w:rsid w:val="001E5A72"/>
    <w:rsid w:val="002278BF"/>
    <w:rsid w:val="00235690"/>
    <w:rsid w:val="00250764"/>
    <w:rsid w:val="00267852"/>
    <w:rsid w:val="00271C50"/>
    <w:rsid w:val="00273B32"/>
    <w:rsid w:val="00282B7C"/>
    <w:rsid w:val="002E61D8"/>
    <w:rsid w:val="002F5CE5"/>
    <w:rsid w:val="00301FAD"/>
    <w:rsid w:val="00332B6C"/>
    <w:rsid w:val="003434A1"/>
    <w:rsid w:val="003526DD"/>
    <w:rsid w:val="00364AD5"/>
    <w:rsid w:val="00370760"/>
    <w:rsid w:val="0037764E"/>
    <w:rsid w:val="003A2C9E"/>
    <w:rsid w:val="003C4C56"/>
    <w:rsid w:val="003C5935"/>
    <w:rsid w:val="003E3704"/>
    <w:rsid w:val="003F00C6"/>
    <w:rsid w:val="003F5331"/>
    <w:rsid w:val="004021A3"/>
    <w:rsid w:val="00443008"/>
    <w:rsid w:val="0046632F"/>
    <w:rsid w:val="00475FE2"/>
    <w:rsid w:val="004C7573"/>
    <w:rsid w:val="004F16EE"/>
    <w:rsid w:val="004F47AA"/>
    <w:rsid w:val="004F572C"/>
    <w:rsid w:val="0051515C"/>
    <w:rsid w:val="00520666"/>
    <w:rsid w:val="00523EC6"/>
    <w:rsid w:val="00545167"/>
    <w:rsid w:val="00553AB3"/>
    <w:rsid w:val="005557E2"/>
    <w:rsid w:val="00581D5F"/>
    <w:rsid w:val="005B1FB5"/>
    <w:rsid w:val="005C627B"/>
    <w:rsid w:val="00612B52"/>
    <w:rsid w:val="006454BD"/>
    <w:rsid w:val="00657F16"/>
    <w:rsid w:val="00661046"/>
    <w:rsid w:val="00664A10"/>
    <w:rsid w:val="00666ED2"/>
    <w:rsid w:val="006814D5"/>
    <w:rsid w:val="006D3F7B"/>
    <w:rsid w:val="006D5446"/>
    <w:rsid w:val="006E3472"/>
    <w:rsid w:val="006E5D9A"/>
    <w:rsid w:val="00724751"/>
    <w:rsid w:val="00741A7D"/>
    <w:rsid w:val="00754D4E"/>
    <w:rsid w:val="00774573"/>
    <w:rsid w:val="00777214"/>
    <w:rsid w:val="007960BD"/>
    <w:rsid w:val="007A2072"/>
    <w:rsid w:val="007A4C81"/>
    <w:rsid w:val="007A6ADB"/>
    <w:rsid w:val="007C2DF2"/>
    <w:rsid w:val="008034CA"/>
    <w:rsid w:val="00803791"/>
    <w:rsid w:val="00847ADC"/>
    <w:rsid w:val="00853965"/>
    <w:rsid w:val="0087186C"/>
    <w:rsid w:val="008939D3"/>
    <w:rsid w:val="0089468F"/>
    <w:rsid w:val="0089652F"/>
    <w:rsid w:val="008B3F95"/>
    <w:rsid w:val="008B6771"/>
    <w:rsid w:val="008B6ABB"/>
    <w:rsid w:val="008C34C3"/>
    <w:rsid w:val="008C3F56"/>
    <w:rsid w:val="008C657E"/>
    <w:rsid w:val="008F0EED"/>
    <w:rsid w:val="00907184"/>
    <w:rsid w:val="00933C66"/>
    <w:rsid w:val="009366B3"/>
    <w:rsid w:val="009456E6"/>
    <w:rsid w:val="00986FDE"/>
    <w:rsid w:val="0099745B"/>
    <w:rsid w:val="009A4C2D"/>
    <w:rsid w:val="009B76DF"/>
    <w:rsid w:val="009C0BE1"/>
    <w:rsid w:val="009E3C0D"/>
    <w:rsid w:val="00A03F3D"/>
    <w:rsid w:val="00A75F46"/>
    <w:rsid w:val="00A8217A"/>
    <w:rsid w:val="00A9788C"/>
    <w:rsid w:val="00AC242C"/>
    <w:rsid w:val="00AF03BB"/>
    <w:rsid w:val="00B0355A"/>
    <w:rsid w:val="00B05A0E"/>
    <w:rsid w:val="00B21066"/>
    <w:rsid w:val="00B23A0B"/>
    <w:rsid w:val="00B30DC2"/>
    <w:rsid w:val="00B502F2"/>
    <w:rsid w:val="00B62D20"/>
    <w:rsid w:val="00B81398"/>
    <w:rsid w:val="00B975AB"/>
    <w:rsid w:val="00BA547D"/>
    <w:rsid w:val="00BA7925"/>
    <w:rsid w:val="00BC0382"/>
    <w:rsid w:val="00BD0CD9"/>
    <w:rsid w:val="00BD5B63"/>
    <w:rsid w:val="00BE6A9C"/>
    <w:rsid w:val="00BF066A"/>
    <w:rsid w:val="00C070D4"/>
    <w:rsid w:val="00C165E3"/>
    <w:rsid w:val="00C4177D"/>
    <w:rsid w:val="00C53D10"/>
    <w:rsid w:val="00C56682"/>
    <w:rsid w:val="00C60C96"/>
    <w:rsid w:val="00C93131"/>
    <w:rsid w:val="00CB46BA"/>
    <w:rsid w:val="00CD280C"/>
    <w:rsid w:val="00CE1E7A"/>
    <w:rsid w:val="00CF460E"/>
    <w:rsid w:val="00D20DBF"/>
    <w:rsid w:val="00D40DF7"/>
    <w:rsid w:val="00D44BD6"/>
    <w:rsid w:val="00D657CA"/>
    <w:rsid w:val="00D911A7"/>
    <w:rsid w:val="00DB0700"/>
    <w:rsid w:val="00DF5897"/>
    <w:rsid w:val="00DF6578"/>
    <w:rsid w:val="00E124A5"/>
    <w:rsid w:val="00E13EE6"/>
    <w:rsid w:val="00E24BD8"/>
    <w:rsid w:val="00E27209"/>
    <w:rsid w:val="00E31A6F"/>
    <w:rsid w:val="00E41538"/>
    <w:rsid w:val="00EA2E68"/>
    <w:rsid w:val="00EB64C9"/>
    <w:rsid w:val="00ED567A"/>
    <w:rsid w:val="00ED6D91"/>
    <w:rsid w:val="00EE0B5C"/>
    <w:rsid w:val="00EE7F17"/>
    <w:rsid w:val="00F42423"/>
    <w:rsid w:val="00F46080"/>
    <w:rsid w:val="00F67543"/>
    <w:rsid w:val="00FB32BE"/>
    <w:rsid w:val="00FC5D6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57171"/>
  <w15:chartTrackingRefBased/>
  <w15:docId w15:val="{DFF9E8AB-0CF9-4743-A5AC-F9466C48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4C5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64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C5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3C4C56"/>
    <w:rPr>
      <w:rFonts w:ascii="Calibri" w:eastAsia="Calibri" w:hAnsi="Calibri" w:cs="Times New Roman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3C4C56"/>
    <w:rPr>
      <w:color w:val="0563C1" w:themeColor="hyperlink"/>
      <w:u w:val="single"/>
    </w:rPr>
  </w:style>
  <w:style w:type="character" w:styleId="Emphasis">
    <w:name w:val="Emphasis"/>
    <w:uiPriority w:val="20"/>
    <w:qFormat/>
    <w:rsid w:val="003C4C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0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6B"/>
  </w:style>
  <w:style w:type="character" w:customStyle="1" w:styleId="apple-converted-space">
    <w:name w:val="apple-converted-space"/>
    <w:basedOn w:val="DefaultParagraphFont"/>
    <w:rsid w:val="0015076B"/>
  </w:style>
  <w:style w:type="paragraph" w:styleId="NormalWeb">
    <w:name w:val="Normal (Web)"/>
    <w:basedOn w:val="Normal"/>
    <w:uiPriority w:val="99"/>
    <w:unhideWhenUsed/>
    <w:rsid w:val="00B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454BD"/>
    <w:rPr>
      <w:b/>
      <w:bCs/>
    </w:rPr>
  </w:style>
  <w:style w:type="paragraph" w:customStyle="1" w:styleId="Default">
    <w:name w:val="Default"/>
    <w:rsid w:val="006E5D9A"/>
    <w:pPr>
      <w:autoSpaceDE w:val="0"/>
      <w:autoSpaceDN w:val="0"/>
      <w:adjustRightInd w:val="0"/>
      <w:spacing w:after="0" w:line="240" w:lineRule="auto"/>
    </w:pPr>
    <w:rPr>
      <w:rFonts w:ascii="Segoe Pro" w:hAnsi="Segoe Pro" w:cs="Segoe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69"/>
    <w:rPr>
      <w:rFonts w:ascii="Segoe UI" w:hAnsi="Segoe UI" w:cs="Segoe UI"/>
      <w:sz w:val="18"/>
      <w:szCs w:val="18"/>
    </w:rPr>
  </w:style>
  <w:style w:type="paragraph" w:customStyle="1" w:styleId="m-6413263040973758534gmail-body">
    <w:name w:val="m_-6413263040973758534gmail-body"/>
    <w:basedOn w:val="Normal"/>
    <w:rsid w:val="0037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il">
    <w:name w:val="il"/>
    <w:basedOn w:val="DefaultParagraphFont"/>
    <w:rsid w:val="0037764E"/>
  </w:style>
  <w:style w:type="paragraph" w:styleId="ListParagraph">
    <w:name w:val="List Paragraph"/>
    <w:basedOn w:val="Normal"/>
    <w:uiPriority w:val="34"/>
    <w:qFormat/>
    <w:rsid w:val="001865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4AD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justify">
    <w:name w:val="rtejustify"/>
    <w:basedOn w:val="Normal"/>
    <w:rsid w:val="0036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E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E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9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1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wnloads\data-table%20(3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chemeClr val="accent6">
                    <a:lumMod val="50000"/>
                  </a:schemeClr>
                </a:solidFill>
              </a:ln>
              <a:effectLst/>
            </c:spPr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Lapas1!$A$2:$A$14</c:f>
              <c:strCache>
                <c:ptCount val="13"/>
                <c:pt idx="0">
                  <c:v>2016M04</c:v>
                </c:pt>
                <c:pt idx="1">
                  <c:v>2016M05</c:v>
                </c:pt>
                <c:pt idx="2">
                  <c:v>2016M06</c:v>
                </c:pt>
                <c:pt idx="3">
                  <c:v>2016M07</c:v>
                </c:pt>
                <c:pt idx="4">
                  <c:v>2016M08</c:v>
                </c:pt>
                <c:pt idx="5">
                  <c:v>2016M09</c:v>
                </c:pt>
                <c:pt idx="6">
                  <c:v>2016M10</c:v>
                </c:pt>
                <c:pt idx="7">
                  <c:v>2016M11</c:v>
                </c:pt>
                <c:pt idx="8">
                  <c:v>2016M12</c:v>
                </c:pt>
                <c:pt idx="9">
                  <c:v>2017M01</c:v>
                </c:pt>
                <c:pt idx="10">
                  <c:v>2017M02</c:v>
                </c:pt>
                <c:pt idx="11">
                  <c:v>2017M03</c:v>
                </c:pt>
                <c:pt idx="12">
                  <c:v>2017M04</c:v>
                </c:pt>
              </c:strCache>
            </c:strRef>
          </c:cat>
          <c:val>
            <c:numRef>
              <c:f>Lapas1!$B$2:$B$14</c:f>
              <c:numCache>
                <c:formatCode>General</c:formatCode>
                <c:ptCount val="13"/>
                <c:pt idx="0">
                  <c:v>0.75800000000000001</c:v>
                </c:pt>
                <c:pt idx="1">
                  <c:v>0.754</c:v>
                </c:pt>
                <c:pt idx="2">
                  <c:v>0.75599999999999989</c:v>
                </c:pt>
                <c:pt idx="3">
                  <c:v>0.754</c:v>
                </c:pt>
                <c:pt idx="4">
                  <c:v>0.75599999999999989</c:v>
                </c:pt>
                <c:pt idx="5">
                  <c:v>0.7609999999999999</c:v>
                </c:pt>
                <c:pt idx="6">
                  <c:v>0.7659999999999999</c:v>
                </c:pt>
                <c:pt idx="7">
                  <c:v>0.76300000000000001</c:v>
                </c:pt>
                <c:pt idx="8">
                  <c:v>0.7609999999999999</c:v>
                </c:pt>
                <c:pt idx="9">
                  <c:v>0.76300000000000001</c:v>
                </c:pt>
                <c:pt idx="10">
                  <c:v>0.76300000000000001</c:v>
                </c:pt>
                <c:pt idx="11">
                  <c:v>0.76300000000000001</c:v>
                </c:pt>
                <c:pt idx="12">
                  <c:v>0.77099999999999991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964-4145-876F-C7D0E6BD0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852096"/>
        <c:axId val="335453712"/>
      </c:lineChart>
      <c:catAx>
        <c:axId val="16885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453712"/>
        <c:crosses val="autoZero"/>
        <c:auto val="1"/>
        <c:lblAlgn val="ctr"/>
        <c:lblOffset val="100"/>
        <c:noMultiLvlLbl val="0"/>
      </c:catAx>
      <c:valAx>
        <c:axId val="33545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85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v>Gamybinių pajėgumų užimtumo lygis</c:v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Lapas2!$B$15:$B$25</c:f>
              <c:strCache>
                <c:ptCount val="11"/>
                <c:pt idx="0">
                  <c:v>Kitų nemetalo mineralinių produktų gamyba</c:v>
                </c:pt>
                <c:pt idx="1">
                  <c:v>Kompiuterinių, elektroninių ir optinių gaminių gamyba</c:v>
                </c:pt>
                <c:pt idx="2">
                  <c:v>Maisto produktų gamyba</c:v>
                </c:pt>
                <c:pt idx="3">
                  <c:v>Iš viso pagal ekonomines veiklos rūšis</c:v>
                </c:pt>
                <c:pt idx="4">
                  <c:v>Medienos bei medienos gaminių gamyba</c:v>
                </c:pt>
                <c:pt idx="5">
                  <c:v>Tekstilės gaminių gamyba</c:v>
                </c:pt>
                <c:pt idx="6">
                  <c:v>Guminių ir plastikinių gaminių gamyba</c:v>
                </c:pt>
                <c:pt idx="7">
                  <c:v>Metalo gaminių, išskyrus mašinas ir įrenginius, gamyba</c:v>
                </c:pt>
                <c:pt idx="8">
                  <c:v>Drabužių siuvimas (gamyba)</c:v>
                </c:pt>
                <c:pt idx="9">
                  <c:v>Baldų gamyba</c:v>
                </c:pt>
                <c:pt idx="10">
                  <c:v>Chemikalų ir chemijos produktų gamyba</c:v>
                </c:pt>
              </c:strCache>
            </c:strRef>
          </c:cat>
          <c:val>
            <c:numRef>
              <c:f>Lapas2!$D$15:$D$25</c:f>
              <c:numCache>
                <c:formatCode>0%</c:formatCode>
                <c:ptCount val="11"/>
                <c:pt idx="0">
                  <c:v>0.67599999999999993</c:v>
                </c:pt>
                <c:pt idx="1">
                  <c:v>0.71099999999999997</c:v>
                </c:pt>
                <c:pt idx="2">
                  <c:v>0.74099999999999999</c:v>
                </c:pt>
                <c:pt idx="3">
                  <c:v>0.77099999999999991</c:v>
                </c:pt>
                <c:pt idx="4">
                  <c:v>0.77099999999999991</c:v>
                </c:pt>
                <c:pt idx="5">
                  <c:v>0.77599999999999991</c:v>
                </c:pt>
                <c:pt idx="6">
                  <c:v>0.78099999999999992</c:v>
                </c:pt>
                <c:pt idx="7">
                  <c:v>0.78599999999999992</c:v>
                </c:pt>
                <c:pt idx="8">
                  <c:v>0.78700000000000003</c:v>
                </c:pt>
                <c:pt idx="9">
                  <c:v>0.81900000000000006</c:v>
                </c:pt>
                <c:pt idx="10">
                  <c:v>0.84099999999999997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E6-4C7C-8186-173883B28156}"/>
            </c:ext>
          </c:extLst>
        </c:ser>
        <c:ser>
          <c:idx val="1"/>
          <c:order val="1"/>
          <c:tx>
            <c:v>Rezervas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Lapas2!$B$15:$B$25</c:f>
              <c:strCache>
                <c:ptCount val="11"/>
                <c:pt idx="0">
                  <c:v>Kitų nemetalo mineralinių produktų gamyba</c:v>
                </c:pt>
                <c:pt idx="1">
                  <c:v>Kompiuterinių, elektroninių ir optinių gaminių gamyba</c:v>
                </c:pt>
                <c:pt idx="2">
                  <c:v>Maisto produktų gamyba</c:v>
                </c:pt>
                <c:pt idx="3">
                  <c:v>Iš viso pagal ekonomines veiklos rūšis</c:v>
                </c:pt>
                <c:pt idx="4">
                  <c:v>Medienos bei medienos gaminių gamyba</c:v>
                </c:pt>
                <c:pt idx="5">
                  <c:v>Tekstilės gaminių gamyba</c:v>
                </c:pt>
                <c:pt idx="6">
                  <c:v>Guminių ir plastikinių gaminių gamyba</c:v>
                </c:pt>
                <c:pt idx="7">
                  <c:v>Metalo gaminių, išskyrus mašinas ir įrenginius, gamyba</c:v>
                </c:pt>
                <c:pt idx="8">
                  <c:v>Drabužių siuvimas (gamyba)</c:v>
                </c:pt>
                <c:pt idx="9">
                  <c:v>Baldų gamyba</c:v>
                </c:pt>
                <c:pt idx="10">
                  <c:v>Chemikalų ir chemijos produktų gamyba</c:v>
                </c:pt>
              </c:strCache>
            </c:strRef>
          </c:cat>
          <c:val>
            <c:numRef>
              <c:f>Lapas2!$E$15:$E$25</c:f>
              <c:numCache>
                <c:formatCode>0%</c:formatCode>
                <c:ptCount val="11"/>
                <c:pt idx="0">
                  <c:v>0.32400000000000007</c:v>
                </c:pt>
                <c:pt idx="1">
                  <c:v>0.28900000000000003</c:v>
                </c:pt>
                <c:pt idx="2">
                  <c:v>0.25900000000000001</c:v>
                </c:pt>
                <c:pt idx="3">
                  <c:v>0.22900000000000009</c:v>
                </c:pt>
                <c:pt idx="4">
                  <c:v>0.22900000000000009</c:v>
                </c:pt>
                <c:pt idx="5">
                  <c:v>0.22400000000000009</c:v>
                </c:pt>
                <c:pt idx="6">
                  <c:v>0.21900000000000008</c:v>
                </c:pt>
                <c:pt idx="7">
                  <c:v>0.21400000000000008</c:v>
                </c:pt>
                <c:pt idx="8">
                  <c:v>0.21299999999999997</c:v>
                </c:pt>
                <c:pt idx="9">
                  <c:v>0.18099999999999994</c:v>
                </c:pt>
                <c:pt idx="10">
                  <c:v>0.15900000000000003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E6-4C7C-8186-173883B28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overlap val="100"/>
        <c:axId val="711436399"/>
        <c:axId val="568877807"/>
      </c:barChart>
      <c:catAx>
        <c:axId val="7114363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8877807"/>
        <c:crosses val="autoZero"/>
        <c:auto val="1"/>
        <c:lblAlgn val="ctr"/>
        <c:lblOffset val="100"/>
        <c:noMultiLvlLbl val="0"/>
      </c:catAx>
      <c:valAx>
        <c:axId val="5688778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1436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FFDC-1226-4A13-9993-09644824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Ieva-LPK</dc:creator>
  <cp:keywords/>
  <dc:description/>
  <cp:lastModifiedBy>Lietuvos pramonininkų konfederacija</cp:lastModifiedBy>
  <cp:revision>5</cp:revision>
  <cp:lastPrinted>2017-06-09T13:52:00Z</cp:lastPrinted>
  <dcterms:created xsi:type="dcterms:W3CDTF">2017-06-09T13:47:00Z</dcterms:created>
  <dcterms:modified xsi:type="dcterms:W3CDTF">2017-06-09T14:18:00Z</dcterms:modified>
</cp:coreProperties>
</file>